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7C9C" w14:textId="06FB6C4C" w:rsidR="00860930" w:rsidRPr="00012C02" w:rsidRDefault="00012C02" w:rsidP="00012C02">
      <w:pPr>
        <w:spacing w:after="0" w:line="240" w:lineRule="auto"/>
        <w:jc w:val="right"/>
        <w:rPr>
          <w:rFonts w:asciiTheme="majorHAnsi" w:hAnsiTheme="majorHAnsi" w:cstheme="majorHAnsi"/>
          <w:color w:val="000000" w:themeColor="text1"/>
          <w:szCs w:val="24"/>
        </w:rPr>
      </w:pPr>
      <w:r w:rsidRPr="00012C02">
        <w:rPr>
          <w:rFonts w:asciiTheme="majorHAnsi" w:hAnsiTheme="majorHAnsi" w:cstheme="majorHAnsi"/>
          <w:color w:val="000000" w:themeColor="text1"/>
          <w:szCs w:val="24"/>
        </w:rPr>
        <w:t>DOI:</w:t>
      </w:r>
      <w:r w:rsidRPr="00012C02">
        <w:rPr>
          <w:rFonts w:asciiTheme="majorHAnsi" w:hAnsiTheme="majorHAnsi" w:cstheme="majorHAnsi"/>
          <w:color w:val="000000" w:themeColor="text1"/>
          <w:szCs w:val="24"/>
        </w:rPr>
        <w:t xml:space="preserve"> </w:t>
      </w:r>
      <w:hyperlink r:id="rId8" w:history="1">
        <w:r w:rsidRPr="00012C02">
          <w:rPr>
            <w:rStyle w:val="Hipervnculo"/>
            <w:rFonts w:asciiTheme="majorHAnsi" w:hAnsiTheme="majorHAnsi" w:cstheme="majorHAnsi"/>
            <w:color w:val="000000" w:themeColor="text1"/>
            <w:szCs w:val="24"/>
            <w:u w:val="none"/>
          </w:rPr>
          <w:t>https://doi.org/10.23913/cemys.v11i22.381</w:t>
        </w:r>
      </w:hyperlink>
    </w:p>
    <w:p w14:paraId="3469C426" w14:textId="77777777" w:rsidR="00012C02" w:rsidRDefault="00012C02" w:rsidP="007F0B51">
      <w:pPr>
        <w:spacing w:after="0" w:line="240" w:lineRule="auto"/>
        <w:jc w:val="both"/>
        <w:rPr>
          <w:rFonts w:asciiTheme="majorHAnsi" w:hAnsiTheme="majorHAnsi" w:cstheme="majorHAnsi"/>
          <w:b/>
          <w:bCs/>
          <w:sz w:val="28"/>
          <w:szCs w:val="28"/>
        </w:rPr>
      </w:pPr>
    </w:p>
    <w:p w14:paraId="39CF5E2F" w14:textId="76765362" w:rsidR="00670699" w:rsidRPr="007F0B51" w:rsidRDefault="00860930" w:rsidP="007F0B51">
      <w:pPr>
        <w:spacing w:after="0" w:line="240" w:lineRule="auto"/>
        <w:jc w:val="both"/>
        <w:rPr>
          <w:rFonts w:asciiTheme="majorHAnsi" w:hAnsiTheme="majorHAnsi" w:cstheme="majorHAnsi"/>
          <w:b/>
          <w:bCs/>
          <w:sz w:val="28"/>
          <w:szCs w:val="28"/>
        </w:rPr>
      </w:pPr>
      <w:r>
        <w:rPr>
          <w:noProof/>
        </w:rPr>
        <w:drawing>
          <wp:anchor distT="0" distB="0" distL="114300" distR="114300" simplePos="0" relativeHeight="251659264" behindDoc="0" locked="0" layoutInCell="1" allowOverlap="1" wp14:anchorId="0CBAFE85" wp14:editId="21E39247">
            <wp:simplePos x="0" y="0"/>
            <wp:positionH relativeFrom="page">
              <wp:align>left</wp:align>
            </wp:positionH>
            <wp:positionV relativeFrom="margin">
              <wp:posOffset>-885825</wp:posOffset>
            </wp:positionV>
            <wp:extent cx="7724775" cy="1228725"/>
            <wp:effectExtent l="0" t="0" r="9525" b="9525"/>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2477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73ED" w:rsidRPr="007F0B51">
        <w:rPr>
          <w:rFonts w:asciiTheme="majorHAnsi" w:hAnsiTheme="majorHAnsi" w:cstheme="majorHAnsi"/>
          <w:b/>
          <w:bCs/>
          <w:sz w:val="28"/>
          <w:szCs w:val="28"/>
        </w:rPr>
        <w:t xml:space="preserve">Análisis de la relación entre la ansiedad en </w:t>
      </w:r>
      <w:r w:rsidR="00311772" w:rsidRPr="007F0B51">
        <w:rPr>
          <w:rFonts w:asciiTheme="majorHAnsi" w:hAnsiTheme="majorHAnsi" w:cstheme="majorHAnsi"/>
          <w:b/>
          <w:bCs/>
          <w:sz w:val="28"/>
          <w:szCs w:val="28"/>
        </w:rPr>
        <w:t>exám</w:t>
      </w:r>
      <w:r w:rsidR="00311772">
        <w:rPr>
          <w:rFonts w:asciiTheme="majorHAnsi" w:hAnsiTheme="majorHAnsi" w:cstheme="majorHAnsi"/>
          <w:b/>
          <w:bCs/>
          <w:sz w:val="28"/>
          <w:szCs w:val="28"/>
        </w:rPr>
        <w:t>e</w:t>
      </w:r>
      <w:r w:rsidR="00311772" w:rsidRPr="007F0B51">
        <w:rPr>
          <w:rFonts w:asciiTheme="majorHAnsi" w:hAnsiTheme="majorHAnsi" w:cstheme="majorHAnsi"/>
          <w:b/>
          <w:bCs/>
          <w:sz w:val="28"/>
          <w:szCs w:val="28"/>
        </w:rPr>
        <w:t>nes</w:t>
      </w:r>
      <w:r w:rsidR="004173ED" w:rsidRPr="007F0B51">
        <w:rPr>
          <w:rFonts w:asciiTheme="majorHAnsi" w:hAnsiTheme="majorHAnsi" w:cstheme="majorHAnsi"/>
          <w:b/>
          <w:bCs/>
          <w:sz w:val="28"/>
          <w:szCs w:val="28"/>
        </w:rPr>
        <w:t xml:space="preserve"> de física y matemáticas </w:t>
      </w:r>
      <w:r w:rsidR="00FA087C" w:rsidRPr="007F0B51">
        <w:rPr>
          <w:rFonts w:asciiTheme="majorHAnsi" w:hAnsiTheme="majorHAnsi" w:cstheme="majorHAnsi"/>
          <w:b/>
          <w:bCs/>
          <w:sz w:val="28"/>
          <w:szCs w:val="28"/>
        </w:rPr>
        <w:t>con</w:t>
      </w:r>
      <w:r w:rsidR="004173ED" w:rsidRPr="007F0B51">
        <w:rPr>
          <w:rFonts w:asciiTheme="majorHAnsi" w:hAnsiTheme="majorHAnsi" w:cstheme="majorHAnsi"/>
          <w:b/>
          <w:bCs/>
          <w:sz w:val="28"/>
          <w:szCs w:val="28"/>
        </w:rPr>
        <w:t xml:space="preserve"> el rendimiento académico en estudiantes de Bioingeniería</w:t>
      </w:r>
    </w:p>
    <w:p w14:paraId="635D084A" w14:textId="3DE21AFB" w:rsidR="00670699" w:rsidRPr="007F0B51" w:rsidRDefault="004173ED" w:rsidP="007F0B51">
      <w:pPr>
        <w:spacing w:after="0" w:line="240" w:lineRule="auto"/>
        <w:jc w:val="both"/>
        <w:rPr>
          <w:rFonts w:asciiTheme="majorHAnsi" w:hAnsiTheme="majorHAnsi" w:cstheme="majorHAnsi"/>
          <w:i/>
          <w:iCs/>
          <w:szCs w:val="24"/>
        </w:rPr>
      </w:pPr>
      <w:r w:rsidRPr="007F0B51">
        <w:rPr>
          <w:rFonts w:asciiTheme="majorHAnsi" w:hAnsiTheme="majorHAnsi" w:cstheme="majorHAnsi"/>
          <w:i/>
          <w:iCs/>
          <w:szCs w:val="24"/>
        </w:rPr>
        <w:t xml:space="preserve">Descriptive </w:t>
      </w:r>
      <w:proofErr w:type="spellStart"/>
      <w:r w:rsidRPr="007F0B51">
        <w:rPr>
          <w:rFonts w:asciiTheme="majorHAnsi" w:hAnsiTheme="majorHAnsi" w:cstheme="majorHAnsi"/>
          <w:i/>
          <w:iCs/>
          <w:szCs w:val="24"/>
        </w:rPr>
        <w:t>statistical</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analysis</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of</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the</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elements</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that</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impact</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anxiety</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due</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to</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worry</w:t>
      </w:r>
      <w:proofErr w:type="spellEnd"/>
      <w:r w:rsidRPr="007F0B51">
        <w:rPr>
          <w:rFonts w:asciiTheme="majorHAnsi" w:hAnsiTheme="majorHAnsi" w:cstheme="majorHAnsi"/>
          <w:i/>
          <w:iCs/>
          <w:szCs w:val="24"/>
        </w:rPr>
        <w:t xml:space="preserve"> in </w:t>
      </w:r>
      <w:proofErr w:type="spellStart"/>
      <w:r w:rsidRPr="007F0B51">
        <w:rPr>
          <w:rFonts w:asciiTheme="majorHAnsi" w:hAnsiTheme="majorHAnsi" w:cstheme="majorHAnsi"/>
          <w:i/>
          <w:iCs/>
          <w:szCs w:val="24"/>
        </w:rPr>
        <w:t>higher</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level</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students</w:t>
      </w:r>
      <w:proofErr w:type="spellEnd"/>
      <w:r w:rsidRPr="007F0B51">
        <w:rPr>
          <w:rFonts w:asciiTheme="majorHAnsi" w:hAnsiTheme="majorHAnsi" w:cstheme="majorHAnsi"/>
          <w:i/>
          <w:iCs/>
          <w:szCs w:val="24"/>
        </w:rPr>
        <w:t xml:space="preserve"> in </w:t>
      </w:r>
      <w:proofErr w:type="spellStart"/>
      <w:r w:rsidRPr="007F0B51">
        <w:rPr>
          <w:rFonts w:asciiTheme="majorHAnsi" w:hAnsiTheme="majorHAnsi" w:cstheme="majorHAnsi"/>
          <w:i/>
          <w:iCs/>
          <w:szCs w:val="24"/>
        </w:rPr>
        <w:t>the</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areas</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of</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Bioengineering</w:t>
      </w:r>
      <w:proofErr w:type="spellEnd"/>
    </w:p>
    <w:p w14:paraId="5CFDF94C" w14:textId="77777777" w:rsidR="004173ED" w:rsidRDefault="004173ED" w:rsidP="007F0B51">
      <w:pPr>
        <w:spacing w:after="0" w:line="240" w:lineRule="auto"/>
        <w:jc w:val="right"/>
        <w:rPr>
          <w:rFonts w:asciiTheme="majorHAnsi" w:hAnsiTheme="majorHAnsi" w:cstheme="majorHAnsi"/>
          <w:szCs w:val="24"/>
        </w:rPr>
      </w:pPr>
    </w:p>
    <w:p w14:paraId="00AD49AC" w14:textId="628E39A6" w:rsidR="007F0B51" w:rsidRDefault="007F0B51" w:rsidP="007F0B51">
      <w:pPr>
        <w:spacing w:after="0" w:line="240" w:lineRule="auto"/>
        <w:jc w:val="right"/>
        <w:rPr>
          <w:rFonts w:asciiTheme="majorHAnsi" w:hAnsiTheme="majorHAnsi" w:cstheme="majorHAnsi"/>
          <w:szCs w:val="24"/>
        </w:rPr>
      </w:pPr>
    </w:p>
    <w:p w14:paraId="1E59A94A" w14:textId="77777777" w:rsidR="007F0B51" w:rsidRPr="00150B28" w:rsidRDefault="007F0B51" w:rsidP="007F0B51">
      <w:pPr>
        <w:spacing w:after="0" w:line="240" w:lineRule="auto"/>
        <w:jc w:val="right"/>
        <w:rPr>
          <w:rFonts w:asciiTheme="majorHAnsi" w:hAnsiTheme="majorHAnsi" w:cstheme="majorHAnsi"/>
          <w:szCs w:val="24"/>
        </w:rPr>
      </w:pPr>
    </w:p>
    <w:p w14:paraId="633DE301" w14:textId="0E181DFD" w:rsidR="004173ED" w:rsidRPr="00150B28" w:rsidRDefault="004173ED" w:rsidP="007F0B51">
      <w:pPr>
        <w:spacing w:after="0" w:line="240" w:lineRule="auto"/>
        <w:ind w:left="2694"/>
        <w:jc w:val="right"/>
        <w:rPr>
          <w:rFonts w:asciiTheme="majorHAnsi" w:hAnsiTheme="majorHAnsi" w:cstheme="majorHAnsi"/>
          <w:b/>
          <w:bCs/>
          <w:color w:val="000000" w:themeColor="text1"/>
          <w:szCs w:val="24"/>
        </w:rPr>
      </w:pPr>
      <w:r w:rsidRPr="00150B28">
        <w:rPr>
          <w:rFonts w:asciiTheme="majorHAnsi" w:hAnsiTheme="majorHAnsi" w:cstheme="majorHAnsi"/>
          <w:b/>
          <w:bCs/>
          <w:color w:val="000000" w:themeColor="text1"/>
          <w:szCs w:val="24"/>
        </w:rPr>
        <w:t>Mónica Zuleyka Chávez Soto</w:t>
      </w:r>
    </w:p>
    <w:p w14:paraId="14579DDF" w14:textId="77777777" w:rsidR="00DE1968" w:rsidRDefault="00DE1968" w:rsidP="007F0B51">
      <w:pPr>
        <w:spacing w:after="0" w:line="240" w:lineRule="auto"/>
        <w:ind w:left="2694"/>
        <w:jc w:val="right"/>
        <w:rPr>
          <w:rFonts w:asciiTheme="majorHAnsi" w:hAnsiTheme="majorHAnsi" w:cstheme="majorHAnsi"/>
          <w:color w:val="FF0000"/>
          <w:szCs w:val="24"/>
        </w:rPr>
      </w:pPr>
      <w:r w:rsidRPr="00150B28">
        <w:rPr>
          <w:rFonts w:asciiTheme="majorHAnsi" w:hAnsiTheme="majorHAnsi" w:cstheme="majorHAnsi"/>
          <w:szCs w:val="24"/>
        </w:rPr>
        <w:t>Instituto Politécnico Nacional</w:t>
      </w:r>
      <w:r w:rsidRPr="007F0B51">
        <w:rPr>
          <w:rFonts w:asciiTheme="majorHAnsi" w:hAnsiTheme="majorHAnsi" w:cstheme="majorHAnsi"/>
          <w:color w:val="FF0000"/>
          <w:szCs w:val="24"/>
        </w:rPr>
        <w:t xml:space="preserve"> </w:t>
      </w:r>
    </w:p>
    <w:p w14:paraId="76B4A529" w14:textId="5C4313B3" w:rsidR="004173ED" w:rsidRPr="007F0B51" w:rsidRDefault="004173ED" w:rsidP="007F0B51">
      <w:pPr>
        <w:spacing w:after="0" w:line="240" w:lineRule="auto"/>
        <w:ind w:left="2694"/>
        <w:jc w:val="right"/>
        <w:rPr>
          <w:rFonts w:asciiTheme="majorHAnsi" w:hAnsiTheme="majorHAnsi" w:cstheme="majorHAnsi"/>
          <w:color w:val="FF0000"/>
          <w:szCs w:val="24"/>
        </w:rPr>
      </w:pPr>
      <w:r w:rsidRPr="007F0B51">
        <w:rPr>
          <w:rFonts w:asciiTheme="majorHAnsi" w:hAnsiTheme="majorHAnsi" w:cstheme="majorHAnsi"/>
          <w:color w:val="FF0000"/>
          <w:szCs w:val="24"/>
        </w:rPr>
        <w:t>mchavezs@ipn.mx</w:t>
      </w:r>
    </w:p>
    <w:p w14:paraId="484A9E32" w14:textId="77777777" w:rsidR="007043F6" w:rsidRPr="00150B28" w:rsidRDefault="007043F6" w:rsidP="007F0B51">
      <w:pPr>
        <w:spacing w:after="0" w:line="240" w:lineRule="auto"/>
        <w:ind w:left="2694"/>
        <w:jc w:val="right"/>
        <w:rPr>
          <w:rFonts w:asciiTheme="majorHAnsi" w:hAnsiTheme="majorHAnsi" w:cstheme="majorHAnsi"/>
          <w:szCs w:val="24"/>
        </w:rPr>
      </w:pPr>
    </w:p>
    <w:p w14:paraId="583A7F25" w14:textId="77777777" w:rsidR="004173ED" w:rsidRPr="00150B28" w:rsidRDefault="004173ED" w:rsidP="007F0B51">
      <w:pPr>
        <w:spacing w:after="0" w:line="240" w:lineRule="auto"/>
        <w:ind w:left="2694"/>
        <w:jc w:val="right"/>
        <w:rPr>
          <w:rFonts w:asciiTheme="majorHAnsi" w:hAnsiTheme="majorHAnsi" w:cstheme="majorHAnsi"/>
          <w:b/>
          <w:bCs/>
          <w:szCs w:val="24"/>
        </w:rPr>
      </w:pPr>
      <w:r w:rsidRPr="00150B28">
        <w:rPr>
          <w:rFonts w:asciiTheme="majorHAnsi" w:hAnsiTheme="majorHAnsi" w:cstheme="majorHAnsi"/>
          <w:b/>
          <w:bCs/>
          <w:szCs w:val="24"/>
        </w:rPr>
        <w:t xml:space="preserve">Adriana Campos Ramírez </w:t>
      </w:r>
    </w:p>
    <w:p w14:paraId="6998DF30" w14:textId="77777777" w:rsidR="00DE1968" w:rsidRDefault="00DE1968" w:rsidP="007F0B51">
      <w:pPr>
        <w:spacing w:after="0" w:line="240" w:lineRule="auto"/>
        <w:ind w:left="2694"/>
        <w:jc w:val="right"/>
        <w:rPr>
          <w:rFonts w:asciiTheme="majorHAnsi" w:hAnsiTheme="majorHAnsi" w:cstheme="majorHAnsi"/>
          <w:color w:val="FF0000"/>
          <w:szCs w:val="24"/>
        </w:rPr>
      </w:pPr>
      <w:r w:rsidRPr="00150B28">
        <w:rPr>
          <w:rFonts w:asciiTheme="majorHAnsi" w:hAnsiTheme="majorHAnsi" w:cstheme="majorHAnsi"/>
          <w:szCs w:val="24"/>
        </w:rPr>
        <w:t>Instituto Politécnico Nacional</w:t>
      </w:r>
      <w:r w:rsidRPr="007F0B51">
        <w:rPr>
          <w:rFonts w:asciiTheme="majorHAnsi" w:hAnsiTheme="majorHAnsi" w:cstheme="majorHAnsi"/>
          <w:color w:val="FF0000"/>
          <w:szCs w:val="24"/>
        </w:rPr>
        <w:t xml:space="preserve"> </w:t>
      </w:r>
    </w:p>
    <w:p w14:paraId="73318F3E" w14:textId="1ED196F4" w:rsidR="007043F6" w:rsidRPr="007F0B51" w:rsidRDefault="007043F6" w:rsidP="007F0B51">
      <w:pPr>
        <w:spacing w:after="0" w:line="240" w:lineRule="auto"/>
        <w:ind w:left="2694"/>
        <w:jc w:val="right"/>
        <w:rPr>
          <w:rFonts w:asciiTheme="majorHAnsi" w:hAnsiTheme="majorHAnsi" w:cstheme="majorHAnsi"/>
          <w:color w:val="FF0000"/>
          <w:szCs w:val="24"/>
        </w:rPr>
      </w:pPr>
      <w:r w:rsidRPr="007F0B51">
        <w:rPr>
          <w:rFonts w:asciiTheme="majorHAnsi" w:hAnsiTheme="majorHAnsi" w:cstheme="majorHAnsi"/>
          <w:color w:val="FF0000"/>
          <w:szCs w:val="24"/>
        </w:rPr>
        <w:t>acamposr@ipn.mx</w:t>
      </w:r>
    </w:p>
    <w:p w14:paraId="2EDABA2C" w14:textId="33C49FEB" w:rsidR="007043F6" w:rsidRPr="00150B28" w:rsidRDefault="008D24FC" w:rsidP="007F0B51">
      <w:pPr>
        <w:spacing w:after="0" w:line="240" w:lineRule="auto"/>
        <w:ind w:left="2694"/>
        <w:jc w:val="right"/>
        <w:rPr>
          <w:rFonts w:asciiTheme="majorHAnsi" w:hAnsiTheme="majorHAnsi" w:cstheme="majorHAnsi"/>
          <w:szCs w:val="24"/>
        </w:rPr>
      </w:pPr>
      <w:r w:rsidRPr="00150B28">
        <w:rPr>
          <w:rFonts w:asciiTheme="majorHAnsi" w:hAnsiTheme="majorHAnsi" w:cstheme="majorHAnsi"/>
          <w:szCs w:val="24"/>
        </w:rPr>
        <w:t>https://orcid.org/0000-0002-5939-533X</w:t>
      </w:r>
    </w:p>
    <w:p w14:paraId="2F64C984" w14:textId="77777777" w:rsidR="008D24FC" w:rsidRPr="00150B28" w:rsidRDefault="008D24FC" w:rsidP="007F0B51">
      <w:pPr>
        <w:spacing w:after="0" w:line="240" w:lineRule="auto"/>
        <w:ind w:left="2694"/>
        <w:jc w:val="right"/>
        <w:rPr>
          <w:rFonts w:asciiTheme="majorHAnsi" w:hAnsiTheme="majorHAnsi" w:cstheme="majorHAnsi"/>
          <w:szCs w:val="24"/>
        </w:rPr>
      </w:pPr>
    </w:p>
    <w:p w14:paraId="3A1EDBCB" w14:textId="24F7E8A7" w:rsidR="007043F6" w:rsidRPr="00150B28" w:rsidRDefault="007043F6" w:rsidP="007F0B51">
      <w:pPr>
        <w:spacing w:after="0" w:line="240" w:lineRule="auto"/>
        <w:ind w:left="2694"/>
        <w:jc w:val="right"/>
        <w:rPr>
          <w:rFonts w:asciiTheme="majorHAnsi" w:hAnsiTheme="majorHAnsi" w:cstheme="majorHAnsi"/>
          <w:b/>
          <w:bCs/>
          <w:szCs w:val="24"/>
        </w:rPr>
      </w:pPr>
      <w:r w:rsidRPr="00150B28">
        <w:rPr>
          <w:rFonts w:asciiTheme="majorHAnsi" w:hAnsiTheme="majorHAnsi" w:cstheme="majorHAnsi"/>
          <w:b/>
          <w:bCs/>
          <w:szCs w:val="24"/>
        </w:rPr>
        <w:t xml:space="preserve">Omar Terán Jiménez </w:t>
      </w:r>
    </w:p>
    <w:p w14:paraId="7AAB465B" w14:textId="77777777" w:rsidR="00DE1968" w:rsidRDefault="00DE1968" w:rsidP="007F0B51">
      <w:pPr>
        <w:spacing w:after="0" w:line="240" w:lineRule="auto"/>
        <w:ind w:left="2694"/>
        <w:jc w:val="right"/>
        <w:rPr>
          <w:rFonts w:asciiTheme="majorHAnsi" w:hAnsiTheme="majorHAnsi" w:cstheme="majorHAnsi"/>
          <w:color w:val="FF0000"/>
          <w:szCs w:val="24"/>
        </w:rPr>
      </w:pPr>
      <w:r w:rsidRPr="00150B28">
        <w:rPr>
          <w:rFonts w:asciiTheme="majorHAnsi" w:hAnsiTheme="majorHAnsi" w:cstheme="majorHAnsi"/>
          <w:szCs w:val="24"/>
        </w:rPr>
        <w:t>Instituto Politécnico Nacional</w:t>
      </w:r>
      <w:r w:rsidRPr="007F0B51">
        <w:rPr>
          <w:rFonts w:asciiTheme="majorHAnsi" w:hAnsiTheme="majorHAnsi" w:cstheme="majorHAnsi"/>
          <w:color w:val="FF0000"/>
          <w:szCs w:val="24"/>
        </w:rPr>
        <w:t xml:space="preserve"> </w:t>
      </w:r>
    </w:p>
    <w:p w14:paraId="0313E936" w14:textId="243404DD" w:rsidR="00670699" w:rsidRPr="007F0B51" w:rsidRDefault="007043F6" w:rsidP="007F0B51">
      <w:pPr>
        <w:spacing w:after="0" w:line="240" w:lineRule="auto"/>
        <w:ind w:left="2694"/>
        <w:jc w:val="right"/>
        <w:rPr>
          <w:rFonts w:asciiTheme="majorHAnsi" w:hAnsiTheme="majorHAnsi" w:cstheme="majorHAnsi"/>
          <w:color w:val="FF0000"/>
          <w:szCs w:val="24"/>
        </w:rPr>
      </w:pPr>
      <w:r w:rsidRPr="007F0B51">
        <w:rPr>
          <w:rFonts w:asciiTheme="majorHAnsi" w:hAnsiTheme="majorHAnsi" w:cstheme="majorHAnsi"/>
          <w:color w:val="FF0000"/>
          <w:szCs w:val="24"/>
        </w:rPr>
        <w:t>oteranj@ipn.mx</w:t>
      </w:r>
    </w:p>
    <w:p w14:paraId="5DF08D48" w14:textId="4E628295" w:rsidR="004173ED" w:rsidRPr="00150B28" w:rsidRDefault="004173ED" w:rsidP="007F0B51">
      <w:pPr>
        <w:spacing w:after="0" w:line="240" w:lineRule="auto"/>
        <w:ind w:left="2694"/>
        <w:jc w:val="right"/>
        <w:rPr>
          <w:rFonts w:asciiTheme="majorHAnsi" w:hAnsiTheme="majorHAnsi" w:cstheme="majorHAnsi"/>
          <w:szCs w:val="24"/>
        </w:rPr>
      </w:pPr>
      <w:r w:rsidRPr="00150B28">
        <w:rPr>
          <w:rFonts w:asciiTheme="majorHAnsi" w:hAnsiTheme="majorHAnsi" w:cstheme="majorHAnsi"/>
          <w:szCs w:val="24"/>
        </w:rPr>
        <w:t>https://orcid.org/0000-0002-3540-1328</w:t>
      </w:r>
    </w:p>
    <w:p w14:paraId="34385FA7" w14:textId="77777777" w:rsidR="007043F6" w:rsidRPr="00150B28" w:rsidRDefault="007043F6" w:rsidP="007F0B51">
      <w:pPr>
        <w:spacing w:after="0" w:line="240" w:lineRule="auto"/>
        <w:ind w:left="2694"/>
        <w:jc w:val="right"/>
        <w:rPr>
          <w:rFonts w:asciiTheme="majorHAnsi" w:hAnsiTheme="majorHAnsi" w:cstheme="majorHAnsi"/>
          <w:szCs w:val="24"/>
        </w:rPr>
      </w:pPr>
    </w:p>
    <w:p w14:paraId="1CE1F4AD" w14:textId="77777777" w:rsidR="007F0B51" w:rsidRDefault="007F0B51" w:rsidP="007F0B51">
      <w:pPr>
        <w:spacing w:after="0" w:line="240" w:lineRule="auto"/>
        <w:rPr>
          <w:rFonts w:asciiTheme="majorHAnsi" w:hAnsiTheme="majorHAnsi" w:cstheme="majorHAnsi"/>
          <w:b/>
          <w:szCs w:val="24"/>
        </w:rPr>
      </w:pPr>
    </w:p>
    <w:p w14:paraId="2DE6666E" w14:textId="70C050A0" w:rsidR="00670699" w:rsidRPr="00150B28" w:rsidRDefault="00D16E65" w:rsidP="007F0B51">
      <w:pPr>
        <w:spacing w:after="0" w:line="240" w:lineRule="auto"/>
        <w:rPr>
          <w:rFonts w:asciiTheme="majorHAnsi" w:hAnsiTheme="majorHAnsi" w:cstheme="majorHAnsi"/>
          <w:szCs w:val="24"/>
        </w:rPr>
      </w:pPr>
      <w:r w:rsidRPr="00150B28">
        <w:rPr>
          <w:rFonts w:asciiTheme="majorHAnsi" w:hAnsiTheme="majorHAnsi" w:cstheme="majorHAnsi"/>
          <w:b/>
          <w:szCs w:val="24"/>
        </w:rPr>
        <w:t>Resumen</w:t>
      </w:r>
    </w:p>
    <w:p w14:paraId="72FD7918" w14:textId="02FCB6C0" w:rsidR="0046770D" w:rsidRDefault="0046770D"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En este trabajo es identificaron los niveles de ansiedad asociados a los exámenes universitarios en las áreas fisicomatemáticas de los estudiantes de primer y segundo semestre de carreras de bioingeniería en una institución pública de educación superior. El diseño de esta investigación es tipo cuantitativa, no experimental y transaccional. Los resultados mostraron que un porcentaje significativo de estudiantes en ambos semestres tienen niveles de ansiedad de moderados a altos al enfrentarse a situación de evaluación. Los síntomas ansiosos que prevalecen en ambos grupos están relacionados mayoritariamente con el factor preocupación. Los síntomas fisiológicos y de evasión de los exámenes tienen menor incidencia. Los coeficientes de correlación Spearman y las pruebas de hipótesis indicaron que hay evidencia estadística que permite concluir que el rendimiento académico y la ansiedad se correlacionan significativamente y que los estudiantes de cursan el segundo semestre tienen mejor rendimiento posiblemente debido a que han pasado su periodo de adaptación en el ámbito escolar o incluso en las situaciones de socialización, expectativas y resiliencia. En este contexto, se concluye que para mejorar el rendimiento académico es importante disminuir los niveles de ansiedad en los estudiantes universitarios y promover la creación de estrategias de adaptación que favorezcan la transición a la educación superior.</w:t>
      </w:r>
    </w:p>
    <w:p w14:paraId="451D5B8C" w14:textId="77777777" w:rsidR="007F0B51" w:rsidRPr="00150B28" w:rsidRDefault="007F0B51" w:rsidP="007F0B51">
      <w:pPr>
        <w:spacing w:after="0" w:line="240" w:lineRule="auto"/>
        <w:jc w:val="both"/>
        <w:rPr>
          <w:rFonts w:asciiTheme="majorHAnsi" w:hAnsiTheme="majorHAnsi" w:cstheme="majorHAnsi"/>
          <w:szCs w:val="24"/>
        </w:rPr>
      </w:pPr>
    </w:p>
    <w:p w14:paraId="21063A49" w14:textId="154B586D" w:rsidR="00670699" w:rsidRDefault="00D16E65" w:rsidP="007F0B51">
      <w:pPr>
        <w:spacing w:after="0" w:line="240" w:lineRule="auto"/>
        <w:rPr>
          <w:rFonts w:asciiTheme="majorHAnsi" w:hAnsiTheme="majorHAnsi" w:cstheme="majorHAnsi"/>
          <w:szCs w:val="24"/>
        </w:rPr>
      </w:pPr>
      <w:r w:rsidRPr="00150B28">
        <w:rPr>
          <w:rFonts w:asciiTheme="majorHAnsi" w:hAnsiTheme="majorHAnsi" w:cstheme="majorHAnsi"/>
          <w:b/>
          <w:szCs w:val="24"/>
        </w:rPr>
        <w:lastRenderedPageBreak/>
        <w:t>Palabras clave</w:t>
      </w:r>
      <w:r w:rsidR="007F0B51">
        <w:rPr>
          <w:rFonts w:asciiTheme="majorHAnsi" w:hAnsiTheme="majorHAnsi" w:cstheme="majorHAnsi"/>
          <w:b/>
          <w:szCs w:val="24"/>
        </w:rPr>
        <w:t xml:space="preserve">: </w:t>
      </w:r>
      <w:r w:rsidR="002465A5" w:rsidRPr="00150B28">
        <w:rPr>
          <w:rFonts w:asciiTheme="majorHAnsi" w:hAnsiTheme="majorHAnsi" w:cstheme="majorHAnsi"/>
          <w:szCs w:val="24"/>
        </w:rPr>
        <w:t>Ansiedad frente a los exámenes universitarios, Estudiantes Universitarios, factores de la ansiedad evitación, fisiológico, preocupación.</w:t>
      </w:r>
    </w:p>
    <w:p w14:paraId="51223BD4" w14:textId="77777777" w:rsidR="007F0B51" w:rsidRDefault="007F0B51" w:rsidP="007F0B51">
      <w:pPr>
        <w:spacing w:after="0" w:line="240" w:lineRule="auto"/>
        <w:rPr>
          <w:rFonts w:asciiTheme="majorHAnsi" w:hAnsiTheme="majorHAnsi" w:cstheme="majorHAnsi"/>
          <w:szCs w:val="24"/>
        </w:rPr>
      </w:pPr>
    </w:p>
    <w:p w14:paraId="18D335E5" w14:textId="77777777" w:rsidR="007F0B51" w:rsidRPr="00150B28" w:rsidRDefault="007F0B51" w:rsidP="007F0B51">
      <w:pPr>
        <w:spacing w:after="0" w:line="240" w:lineRule="auto"/>
        <w:rPr>
          <w:rFonts w:asciiTheme="majorHAnsi" w:hAnsiTheme="majorHAnsi" w:cstheme="majorHAnsi"/>
          <w:szCs w:val="24"/>
        </w:rPr>
      </w:pPr>
    </w:p>
    <w:p w14:paraId="06F6D000" w14:textId="77777777" w:rsidR="00670699" w:rsidRPr="00150B28" w:rsidRDefault="00D16E65" w:rsidP="007F0B51">
      <w:pPr>
        <w:spacing w:after="0" w:line="240" w:lineRule="auto"/>
        <w:rPr>
          <w:rFonts w:asciiTheme="majorHAnsi" w:hAnsiTheme="majorHAnsi" w:cstheme="majorHAnsi"/>
          <w:szCs w:val="24"/>
        </w:rPr>
      </w:pPr>
      <w:proofErr w:type="spellStart"/>
      <w:r w:rsidRPr="00150B28">
        <w:rPr>
          <w:rFonts w:asciiTheme="majorHAnsi" w:hAnsiTheme="majorHAnsi" w:cstheme="majorHAnsi"/>
          <w:b/>
          <w:szCs w:val="24"/>
        </w:rPr>
        <w:t>Abstract</w:t>
      </w:r>
      <w:proofErr w:type="spellEnd"/>
    </w:p>
    <w:p w14:paraId="1EEDC721" w14:textId="77777777" w:rsidR="00FD1998" w:rsidRDefault="00FD1998"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In </w:t>
      </w:r>
      <w:proofErr w:type="spellStart"/>
      <w:r w:rsidRPr="00150B28">
        <w:rPr>
          <w:rFonts w:asciiTheme="majorHAnsi" w:hAnsiTheme="majorHAnsi" w:cstheme="majorHAnsi"/>
          <w:szCs w:val="24"/>
        </w:rPr>
        <w:t>this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study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levels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of</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anxiety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associated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with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university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examinations</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physical-mathematical</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areas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among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first</w:t>
      </w:r>
      <w:proofErr w:type="spellEnd"/>
      <w:r w:rsidRPr="00150B28">
        <w:rPr>
          <w:rFonts w:asciiTheme="majorHAnsi" w:hAnsiTheme="majorHAnsi" w:cstheme="majorHAnsi"/>
          <w:szCs w:val="24"/>
        </w:rPr>
        <w:t xml:space="preserve">- and </w:t>
      </w:r>
      <w:proofErr w:type="spellStart"/>
      <w:r w:rsidRPr="00150B28">
        <w:rPr>
          <w:rFonts w:asciiTheme="majorHAnsi" w:hAnsiTheme="majorHAnsi" w:cstheme="majorHAnsi"/>
          <w:szCs w:val="24"/>
        </w:rPr>
        <w:t>second-semester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bioengineering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students</w:t>
      </w:r>
      <w:proofErr w:type="spellEnd"/>
      <w:r w:rsidRPr="00150B28">
        <w:rPr>
          <w:rFonts w:asciiTheme="majorHAnsi" w:hAnsiTheme="majorHAnsi" w:cstheme="majorHAnsi"/>
          <w:szCs w:val="24"/>
        </w:rPr>
        <w:t xml:space="preserve"> at a </w:t>
      </w:r>
      <w:proofErr w:type="spellStart"/>
      <w:r w:rsidRPr="00150B28">
        <w:rPr>
          <w:rFonts w:asciiTheme="majorHAnsi" w:hAnsiTheme="majorHAnsi" w:cstheme="majorHAnsi"/>
          <w:szCs w:val="24"/>
        </w:rPr>
        <w:t>public</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higher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education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institution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were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identified</w:t>
      </w:r>
      <w:proofErr w:type="spellEnd"/>
      <w:r w:rsidRPr="00150B28">
        <w:rPr>
          <w:rFonts w:asciiTheme="majorHAnsi" w:hAnsiTheme="majorHAnsi" w:cstheme="majorHAnsi"/>
          <w:szCs w:val="24"/>
        </w:rPr>
        <w:t xml:space="preserve">. The </w:t>
      </w:r>
      <w:proofErr w:type="spellStart"/>
      <w:r w:rsidRPr="00150B28">
        <w:rPr>
          <w:rFonts w:asciiTheme="majorHAnsi" w:hAnsiTheme="majorHAnsi" w:cstheme="majorHAnsi"/>
          <w:szCs w:val="24"/>
        </w:rPr>
        <w:t>research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design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quantitative</w:t>
      </w:r>
      <w:proofErr w:type="spellEnd"/>
      <w:r w:rsidRPr="00150B28">
        <w:rPr>
          <w:rFonts w:asciiTheme="majorHAnsi" w:hAnsiTheme="majorHAnsi" w:cstheme="majorHAnsi"/>
          <w:szCs w:val="24"/>
        </w:rPr>
        <w:t xml:space="preserve">, non-experimental, and </w:t>
      </w:r>
      <w:proofErr w:type="spellStart"/>
      <w:r w:rsidRPr="00150B28">
        <w:rPr>
          <w:rFonts w:asciiTheme="majorHAnsi" w:hAnsiTheme="majorHAnsi" w:cstheme="majorHAnsi"/>
          <w:szCs w:val="24"/>
        </w:rPr>
        <w:t>transactional</w:t>
      </w:r>
      <w:proofErr w:type="spellEnd"/>
      <w:r w:rsidRPr="00150B28">
        <w:rPr>
          <w:rFonts w:asciiTheme="majorHAnsi" w:hAnsiTheme="majorHAnsi" w:cstheme="majorHAnsi"/>
          <w:szCs w:val="24"/>
        </w:rPr>
        <w:t xml:space="preserve">. The </w:t>
      </w:r>
      <w:proofErr w:type="spellStart"/>
      <w:r w:rsidRPr="00150B28">
        <w:rPr>
          <w:rFonts w:asciiTheme="majorHAnsi" w:hAnsiTheme="majorHAnsi" w:cstheme="majorHAnsi"/>
          <w:szCs w:val="24"/>
        </w:rPr>
        <w:t>results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showed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that</w:t>
      </w:r>
      <w:proofErr w:type="spellEnd"/>
      <w:r w:rsidRPr="00150B28">
        <w:rPr>
          <w:rFonts w:asciiTheme="majorHAnsi" w:hAnsiTheme="majorHAnsi" w:cstheme="majorHAnsi"/>
          <w:szCs w:val="24"/>
        </w:rPr>
        <w:t xml:space="preserve"> a </w:t>
      </w:r>
      <w:proofErr w:type="spellStart"/>
      <w:r w:rsidRPr="00150B28">
        <w:rPr>
          <w:rFonts w:asciiTheme="majorHAnsi" w:hAnsiTheme="majorHAnsi" w:cstheme="majorHAnsi"/>
          <w:szCs w:val="24"/>
        </w:rPr>
        <w:t>significant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percentage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of</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students</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both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semesters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experience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moderate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to</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high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levels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of</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anxiety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when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facing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evaluation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situations</w:t>
      </w:r>
      <w:proofErr w:type="spellEnd"/>
      <w:r w:rsidRPr="00150B28">
        <w:rPr>
          <w:rFonts w:asciiTheme="majorHAnsi" w:hAnsiTheme="majorHAnsi" w:cstheme="majorHAnsi"/>
          <w:szCs w:val="24"/>
        </w:rPr>
        <w:t xml:space="preserve">. The </w:t>
      </w:r>
      <w:proofErr w:type="spellStart"/>
      <w:r w:rsidRPr="00150B28">
        <w:rPr>
          <w:rFonts w:asciiTheme="majorHAnsi" w:hAnsiTheme="majorHAnsi" w:cstheme="majorHAnsi"/>
          <w:szCs w:val="24"/>
        </w:rPr>
        <w:t>anxious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symptoms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prevalent</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both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groups</w:t>
      </w:r>
      <w:proofErr w:type="spellEnd"/>
      <w:r w:rsidRPr="00150B28">
        <w:rPr>
          <w:rFonts w:asciiTheme="majorHAnsi" w:hAnsiTheme="majorHAnsi" w:cstheme="majorHAnsi"/>
          <w:szCs w:val="24"/>
        </w:rPr>
        <w:t xml:space="preserve"> are </w:t>
      </w:r>
      <w:proofErr w:type="spellStart"/>
      <w:r w:rsidRPr="00150B28">
        <w:rPr>
          <w:rFonts w:asciiTheme="majorHAnsi" w:hAnsiTheme="majorHAnsi" w:cstheme="majorHAnsi"/>
          <w:szCs w:val="24"/>
        </w:rPr>
        <w:t>predominantly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related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to</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factor </w:t>
      </w:r>
      <w:proofErr w:type="spellStart"/>
      <w:r w:rsidRPr="00150B28">
        <w:rPr>
          <w:rFonts w:asciiTheme="majorHAnsi" w:hAnsiTheme="majorHAnsi" w:cstheme="majorHAnsi"/>
          <w:szCs w:val="24"/>
        </w:rPr>
        <w:t>of</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worry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while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physiological</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symptoms</w:t>
      </w:r>
      <w:proofErr w:type="spellEnd"/>
      <w:r w:rsidRPr="00150B28">
        <w:rPr>
          <w:rFonts w:asciiTheme="majorHAnsi" w:hAnsiTheme="majorHAnsi" w:cstheme="majorHAnsi"/>
          <w:szCs w:val="24"/>
        </w:rPr>
        <w:t xml:space="preserve"> and </w:t>
      </w:r>
      <w:proofErr w:type="spellStart"/>
      <w:r w:rsidRPr="00150B28">
        <w:rPr>
          <w:rFonts w:asciiTheme="majorHAnsi" w:hAnsiTheme="majorHAnsi" w:cstheme="majorHAnsi"/>
          <w:szCs w:val="24"/>
        </w:rPr>
        <w:t>exam</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avoidance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have</w:t>
      </w:r>
      <w:proofErr w:type="spellEnd"/>
      <w:r w:rsidRPr="00150B28">
        <w:rPr>
          <w:rFonts w:asciiTheme="majorHAnsi" w:hAnsiTheme="majorHAnsi" w:cstheme="majorHAnsi"/>
          <w:szCs w:val="24"/>
        </w:rPr>
        <w:t xml:space="preserve"> a </w:t>
      </w:r>
      <w:proofErr w:type="spellStart"/>
      <w:r w:rsidRPr="00150B28">
        <w:rPr>
          <w:rFonts w:asciiTheme="majorHAnsi" w:hAnsiTheme="majorHAnsi" w:cstheme="majorHAnsi"/>
          <w:szCs w:val="24"/>
        </w:rPr>
        <w:t>lower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incidence</w:t>
      </w:r>
      <w:proofErr w:type="spellEnd"/>
      <w:r w:rsidRPr="00150B28">
        <w:rPr>
          <w:rFonts w:asciiTheme="majorHAnsi" w:hAnsiTheme="majorHAnsi" w:cstheme="majorHAnsi"/>
          <w:szCs w:val="24"/>
        </w:rPr>
        <w:t xml:space="preserve">. Spearman </w:t>
      </w:r>
      <w:proofErr w:type="spellStart"/>
      <w:r w:rsidRPr="00150B28">
        <w:rPr>
          <w:rFonts w:asciiTheme="majorHAnsi" w:hAnsiTheme="majorHAnsi" w:cstheme="majorHAnsi"/>
          <w:szCs w:val="24"/>
        </w:rPr>
        <w:t>correlation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coefficients</w:t>
      </w:r>
      <w:proofErr w:type="spellEnd"/>
      <w:r w:rsidRPr="00150B28">
        <w:rPr>
          <w:rFonts w:asciiTheme="majorHAnsi" w:hAnsiTheme="majorHAnsi" w:cstheme="majorHAnsi"/>
          <w:szCs w:val="24"/>
        </w:rPr>
        <w:t xml:space="preserve"> and </w:t>
      </w:r>
      <w:proofErr w:type="spellStart"/>
      <w:r w:rsidRPr="00150B28">
        <w:rPr>
          <w:rFonts w:asciiTheme="majorHAnsi" w:hAnsiTheme="majorHAnsi" w:cstheme="majorHAnsi"/>
          <w:szCs w:val="24"/>
        </w:rPr>
        <w:t>hypothesis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tests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indicated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statistical</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evidence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suggesting</w:t>
      </w:r>
      <w:proofErr w:type="spellEnd"/>
      <w:r w:rsidRPr="00150B28">
        <w:rPr>
          <w:rFonts w:asciiTheme="majorHAnsi" w:hAnsiTheme="majorHAnsi" w:cstheme="majorHAnsi"/>
          <w:szCs w:val="24"/>
        </w:rPr>
        <w:t xml:space="preserve"> a </w:t>
      </w:r>
      <w:proofErr w:type="spellStart"/>
      <w:r w:rsidRPr="00150B28">
        <w:rPr>
          <w:rFonts w:asciiTheme="majorHAnsi" w:hAnsiTheme="majorHAnsi" w:cstheme="majorHAnsi"/>
          <w:szCs w:val="24"/>
        </w:rPr>
        <w:t>significant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correlation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between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academic</w:t>
      </w:r>
      <w:proofErr w:type="spellEnd"/>
      <w:r w:rsidRPr="00150B28">
        <w:rPr>
          <w:rFonts w:asciiTheme="majorHAnsi" w:hAnsiTheme="majorHAnsi" w:cstheme="majorHAnsi"/>
          <w:szCs w:val="24"/>
        </w:rPr>
        <w:t xml:space="preserve"> performance and </w:t>
      </w:r>
      <w:proofErr w:type="spellStart"/>
      <w:r w:rsidRPr="00150B28">
        <w:rPr>
          <w:rFonts w:asciiTheme="majorHAnsi" w:hAnsiTheme="majorHAnsi" w:cstheme="majorHAnsi"/>
          <w:szCs w:val="24"/>
        </w:rPr>
        <w:t>anxiety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with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second-semester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students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demonstrating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better</w:t>
      </w:r>
      <w:proofErr w:type="spellEnd"/>
      <w:r w:rsidRPr="00150B28">
        <w:rPr>
          <w:rFonts w:asciiTheme="majorHAnsi" w:hAnsiTheme="majorHAnsi" w:cstheme="majorHAnsi"/>
          <w:szCs w:val="24"/>
        </w:rPr>
        <w:t xml:space="preserve"> performance, </w:t>
      </w:r>
      <w:proofErr w:type="spellStart"/>
      <w:r w:rsidRPr="00150B28">
        <w:rPr>
          <w:rFonts w:asciiTheme="majorHAnsi" w:hAnsiTheme="majorHAnsi" w:cstheme="majorHAnsi"/>
          <w:szCs w:val="24"/>
        </w:rPr>
        <w:t>possibly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due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to</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having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completed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their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adaptation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period</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educational</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environment</w:t>
      </w:r>
      <w:proofErr w:type="spellEnd"/>
      <w:r w:rsidRPr="00150B28">
        <w:rPr>
          <w:rFonts w:asciiTheme="majorHAnsi" w:hAnsiTheme="majorHAnsi" w:cstheme="majorHAnsi"/>
          <w:szCs w:val="24"/>
        </w:rPr>
        <w:t xml:space="preserve">, as </w:t>
      </w:r>
      <w:proofErr w:type="spellStart"/>
      <w:r w:rsidRPr="00150B28">
        <w:rPr>
          <w:rFonts w:asciiTheme="majorHAnsi" w:hAnsiTheme="majorHAnsi" w:cstheme="majorHAnsi"/>
          <w:szCs w:val="24"/>
        </w:rPr>
        <w:t>well</w:t>
      </w:r>
      <w:proofErr w:type="spellEnd"/>
      <w:r w:rsidRPr="00150B28">
        <w:rPr>
          <w:rFonts w:asciiTheme="majorHAnsi" w:hAnsiTheme="majorHAnsi" w:cstheme="majorHAnsi"/>
          <w:szCs w:val="24"/>
        </w:rPr>
        <w:t xml:space="preserve"> as in </w:t>
      </w:r>
      <w:proofErr w:type="spellStart"/>
      <w:r w:rsidRPr="00150B28">
        <w:rPr>
          <w:rFonts w:asciiTheme="majorHAnsi" w:hAnsiTheme="majorHAnsi" w:cstheme="majorHAnsi"/>
          <w:szCs w:val="24"/>
        </w:rPr>
        <w:t>socialization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expectations</w:t>
      </w:r>
      <w:proofErr w:type="spellEnd"/>
      <w:r w:rsidRPr="00150B28">
        <w:rPr>
          <w:rFonts w:asciiTheme="majorHAnsi" w:hAnsiTheme="majorHAnsi" w:cstheme="majorHAnsi"/>
          <w:szCs w:val="24"/>
        </w:rPr>
        <w:t xml:space="preserve">, and </w:t>
      </w:r>
      <w:proofErr w:type="spellStart"/>
      <w:r w:rsidRPr="00150B28">
        <w:rPr>
          <w:rFonts w:asciiTheme="majorHAnsi" w:hAnsiTheme="majorHAnsi" w:cstheme="majorHAnsi"/>
          <w:szCs w:val="24"/>
        </w:rPr>
        <w:t>resilience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situations</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this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context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concluded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that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reducing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anxiety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levels</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university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students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important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for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improving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academic</w:t>
      </w:r>
      <w:proofErr w:type="spellEnd"/>
      <w:r w:rsidRPr="00150B28">
        <w:rPr>
          <w:rFonts w:asciiTheme="majorHAnsi" w:hAnsiTheme="majorHAnsi" w:cstheme="majorHAnsi"/>
          <w:szCs w:val="24"/>
        </w:rPr>
        <w:t xml:space="preserve"> performance and </w:t>
      </w:r>
      <w:proofErr w:type="spellStart"/>
      <w:r w:rsidRPr="00150B28">
        <w:rPr>
          <w:rFonts w:asciiTheme="majorHAnsi" w:hAnsiTheme="majorHAnsi" w:cstheme="majorHAnsi"/>
          <w:szCs w:val="24"/>
        </w:rPr>
        <w:t>promoting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development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of</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adaptation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strategies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that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facilitate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transition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to</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higher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education</w:t>
      </w:r>
      <w:proofErr w:type="spellEnd"/>
      <w:r w:rsidRPr="00150B28">
        <w:rPr>
          <w:rFonts w:asciiTheme="majorHAnsi" w:hAnsiTheme="majorHAnsi" w:cstheme="majorHAnsi"/>
          <w:szCs w:val="24"/>
        </w:rPr>
        <w:t>.</w:t>
      </w:r>
    </w:p>
    <w:p w14:paraId="70F2F2CF" w14:textId="77777777" w:rsidR="007F0B51" w:rsidRPr="00150B28" w:rsidRDefault="007F0B51" w:rsidP="007F0B51">
      <w:pPr>
        <w:spacing w:after="0" w:line="240" w:lineRule="auto"/>
        <w:jc w:val="both"/>
        <w:rPr>
          <w:rFonts w:asciiTheme="majorHAnsi" w:hAnsiTheme="majorHAnsi" w:cstheme="majorHAnsi"/>
          <w:szCs w:val="24"/>
        </w:rPr>
      </w:pPr>
    </w:p>
    <w:p w14:paraId="728A1A95" w14:textId="554D63F6" w:rsidR="00F241BC" w:rsidRDefault="00D16E65" w:rsidP="007F0B51">
      <w:pPr>
        <w:spacing w:after="0" w:line="240" w:lineRule="auto"/>
        <w:jc w:val="both"/>
        <w:rPr>
          <w:rFonts w:asciiTheme="majorHAnsi" w:hAnsiTheme="majorHAnsi" w:cstheme="majorHAnsi"/>
          <w:szCs w:val="24"/>
        </w:rPr>
      </w:pPr>
      <w:proofErr w:type="spellStart"/>
      <w:r w:rsidRPr="00150B28">
        <w:rPr>
          <w:rFonts w:asciiTheme="majorHAnsi" w:hAnsiTheme="majorHAnsi" w:cstheme="majorHAnsi"/>
          <w:b/>
          <w:szCs w:val="24"/>
        </w:rPr>
        <w:t>Keywords</w:t>
      </w:r>
      <w:proofErr w:type="spellEnd"/>
      <w:r w:rsidR="007F0B51">
        <w:rPr>
          <w:rFonts w:asciiTheme="majorHAnsi" w:hAnsiTheme="majorHAnsi" w:cstheme="majorHAnsi"/>
          <w:b/>
          <w:szCs w:val="24"/>
        </w:rPr>
        <w:t xml:space="preserve">: </w:t>
      </w:r>
      <w:proofErr w:type="spellStart"/>
      <w:r w:rsidR="00F241BC" w:rsidRPr="00150B28">
        <w:rPr>
          <w:rFonts w:asciiTheme="majorHAnsi" w:hAnsiTheme="majorHAnsi" w:cstheme="majorHAnsi"/>
          <w:szCs w:val="24"/>
        </w:rPr>
        <w:t>Anxiety</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related</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to</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university</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examinations</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factors</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of</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anxiety</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avoidance</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physiological</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symptoms</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worry</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bioengineering</w:t>
      </w:r>
      <w:proofErr w:type="spellEnd"/>
      <w:r w:rsidR="00F241BC" w:rsidRPr="00150B28">
        <w:rPr>
          <w:rFonts w:asciiTheme="majorHAnsi" w:hAnsiTheme="majorHAnsi" w:cstheme="majorHAnsi"/>
          <w:szCs w:val="24"/>
        </w:rPr>
        <w:t>.</w:t>
      </w:r>
    </w:p>
    <w:p w14:paraId="26B4E706" w14:textId="77777777" w:rsidR="007F0B51" w:rsidRPr="00150B28" w:rsidRDefault="007F0B51" w:rsidP="007F0B51">
      <w:pPr>
        <w:spacing w:after="0" w:line="240" w:lineRule="auto"/>
        <w:jc w:val="both"/>
        <w:rPr>
          <w:rFonts w:asciiTheme="majorHAnsi" w:hAnsiTheme="majorHAnsi" w:cstheme="majorHAnsi"/>
          <w:szCs w:val="24"/>
        </w:rPr>
      </w:pPr>
    </w:p>
    <w:p w14:paraId="57BA66D2" w14:textId="77777777" w:rsidR="007F0B51" w:rsidRDefault="007F0B51" w:rsidP="007F0B51">
      <w:pPr>
        <w:spacing w:after="0" w:line="240" w:lineRule="auto"/>
        <w:rPr>
          <w:rFonts w:asciiTheme="majorHAnsi" w:hAnsiTheme="majorHAnsi" w:cstheme="majorHAnsi"/>
          <w:b/>
          <w:szCs w:val="24"/>
        </w:rPr>
      </w:pPr>
    </w:p>
    <w:p w14:paraId="365C69EC" w14:textId="1500B8B3" w:rsidR="00670699" w:rsidRPr="00150B28" w:rsidRDefault="00D16E65" w:rsidP="007F0B51">
      <w:pPr>
        <w:spacing w:after="0" w:line="240" w:lineRule="auto"/>
        <w:jc w:val="center"/>
        <w:rPr>
          <w:rFonts w:asciiTheme="majorHAnsi" w:hAnsiTheme="majorHAnsi" w:cstheme="majorHAnsi"/>
          <w:szCs w:val="24"/>
        </w:rPr>
      </w:pPr>
      <w:r w:rsidRPr="00150B28">
        <w:rPr>
          <w:rFonts w:asciiTheme="majorHAnsi" w:hAnsiTheme="majorHAnsi" w:cstheme="majorHAnsi"/>
          <w:b/>
          <w:szCs w:val="24"/>
        </w:rPr>
        <w:t>Introducción</w:t>
      </w:r>
    </w:p>
    <w:p w14:paraId="26F32523" w14:textId="77777777"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 xml:space="preserve">La ansiedad abarca manifestaciones físicas y mentales que, aunque no responden a peligros reales, pueden aparecer como crisis o mantenerse de manera persistente y difusa (Sierra et al., 2003). Incluye sensaciones desagradables como preocupación, irritabilidad, inquietud, hipervigilancia o agitación (Chacón et al., 2021) y sus efectos repercuten en áreas social, laboral, y desde luego la académica (Córdoba &amp; Castro 2020). </w:t>
      </w:r>
    </w:p>
    <w:p w14:paraId="43DEBEF9" w14:textId="77777777" w:rsidR="007F0B51" w:rsidRPr="00150B28" w:rsidRDefault="007F0B51" w:rsidP="007F0B51">
      <w:pPr>
        <w:spacing w:after="0" w:line="240" w:lineRule="auto"/>
        <w:ind w:right="-7"/>
        <w:jc w:val="both"/>
        <w:rPr>
          <w:rFonts w:asciiTheme="majorHAnsi" w:hAnsiTheme="majorHAnsi" w:cstheme="majorHAnsi"/>
          <w:szCs w:val="24"/>
        </w:rPr>
      </w:pPr>
    </w:p>
    <w:p w14:paraId="58E4843C" w14:textId="0888799D" w:rsidR="007D2EBE" w:rsidRDefault="00DC19B9"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Después de la pandemia por SARS-CoV-2, y al</w:t>
      </w:r>
      <w:r w:rsidR="007D2EBE" w:rsidRPr="00150B28">
        <w:rPr>
          <w:rFonts w:asciiTheme="majorHAnsi" w:hAnsiTheme="majorHAnsi" w:cstheme="majorHAnsi"/>
          <w:szCs w:val="24"/>
        </w:rPr>
        <w:t xml:space="preserve"> regreso a la modalidad presencial, los estudiantes universitarios enfrentaron cambios importantes en su vida cotidiana (Corrales, 2024). Según Merchán et al. (2024), diversos estudios han documentado el impacto de la ansiedad, la depresión y el estrés pospandémico en los estudiantes. En México, se ha registrado un nivel de ansiedad del 40.3%, según el estudio de González at al. (2020).</w:t>
      </w:r>
    </w:p>
    <w:p w14:paraId="6CD363FC" w14:textId="77777777" w:rsidR="007F0B51" w:rsidRPr="00150B28" w:rsidRDefault="007F0B51" w:rsidP="007F0B51">
      <w:pPr>
        <w:spacing w:after="0" w:line="240" w:lineRule="auto"/>
        <w:ind w:right="-7"/>
        <w:jc w:val="both"/>
        <w:rPr>
          <w:rFonts w:asciiTheme="majorHAnsi" w:hAnsiTheme="majorHAnsi" w:cstheme="majorHAnsi"/>
          <w:szCs w:val="24"/>
        </w:rPr>
      </w:pPr>
    </w:p>
    <w:p w14:paraId="51B1C770" w14:textId="77777777"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 xml:space="preserve">En ese sentido, las características del entorno universitario, con sus demandas y exigencias, pueden generar ansiedad y problemas sociales en los estudiantes, lo que afecta directamente el desempeño académico. Según Lang (1968), la ansiedad se manifiesta a nivel fisiológico, cognitivo y conductual, y en el contexto universitario, puede variar en intensidad y afectar de manera única a cada estudiante. </w:t>
      </w:r>
    </w:p>
    <w:p w14:paraId="641DAF2F" w14:textId="77777777" w:rsidR="007F0B51" w:rsidRPr="00150B28" w:rsidRDefault="007F0B51" w:rsidP="007F0B51">
      <w:pPr>
        <w:spacing w:after="0" w:line="240" w:lineRule="auto"/>
        <w:ind w:right="-7"/>
        <w:jc w:val="both"/>
        <w:rPr>
          <w:rFonts w:asciiTheme="majorHAnsi" w:hAnsiTheme="majorHAnsi" w:cstheme="majorHAnsi"/>
          <w:szCs w:val="24"/>
        </w:rPr>
      </w:pPr>
    </w:p>
    <w:p w14:paraId="2C3D0521" w14:textId="1191A8D4"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 xml:space="preserve">Las consecuencias de sufrir ansiedad en el entorno académico implican según Bojorquez (2015) y Furlan (2014) un bajo rendimiento académico caracterizado por baja capacidad de concentración y la procrastinación. Cardona et al. (2015) identifica que la ansiedad, cuando es intensa y frecuente, puede </w:t>
      </w:r>
      <w:r w:rsidRPr="00150B28">
        <w:rPr>
          <w:rFonts w:asciiTheme="majorHAnsi" w:hAnsiTheme="majorHAnsi" w:cstheme="majorHAnsi"/>
          <w:szCs w:val="24"/>
        </w:rPr>
        <w:lastRenderedPageBreak/>
        <w:t>causar malestar emocional y llevar a los estudiantes a evitar los exámenes, aun cuando estén preparados.</w:t>
      </w:r>
    </w:p>
    <w:p w14:paraId="00EA8253" w14:textId="77777777" w:rsidR="007F0B51" w:rsidRPr="00150B28" w:rsidRDefault="007F0B51" w:rsidP="007F0B51">
      <w:pPr>
        <w:spacing w:after="0" w:line="240" w:lineRule="auto"/>
        <w:ind w:right="-7"/>
        <w:jc w:val="both"/>
        <w:rPr>
          <w:rFonts w:asciiTheme="majorHAnsi" w:hAnsiTheme="majorHAnsi" w:cstheme="majorHAnsi"/>
          <w:szCs w:val="24"/>
        </w:rPr>
      </w:pPr>
    </w:p>
    <w:p w14:paraId="3BFA9CFA" w14:textId="77777777"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Hjorth (2016), Méndez &amp; Navarro (2021) y Vera (2020) mencionan que los estudiantes que presentan altos niveles de ansiedad tienen mayor probabilidad de abandonar sus estudios, y subrayan la importancia de identificar los síntomas de ansiedad para ofrecer apoyo psicológico adecuado para mitigar sus efectos.</w:t>
      </w:r>
    </w:p>
    <w:p w14:paraId="04BE303F" w14:textId="77777777" w:rsidR="007F0B51" w:rsidRPr="00150B28" w:rsidRDefault="007F0B51" w:rsidP="007F0B51">
      <w:pPr>
        <w:spacing w:after="0" w:line="240" w:lineRule="auto"/>
        <w:ind w:right="-7"/>
        <w:jc w:val="both"/>
        <w:rPr>
          <w:rFonts w:asciiTheme="majorHAnsi" w:hAnsiTheme="majorHAnsi" w:cstheme="majorHAnsi"/>
          <w:szCs w:val="24"/>
        </w:rPr>
      </w:pPr>
    </w:p>
    <w:p w14:paraId="1865026E" w14:textId="77777777"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 xml:space="preserve">Hay evidencia que sugiere que los estudiantes de los primeros semestres de diversas carreras de ingeniería presentan altos índices de reprobación en matemáticas y física, probablemente debido a un aumento de la ansiedad en el entorno universitario. </w:t>
      </w:r>
      <w:proofErr w:type="spellStart"/>
      <w:r w:rsidRPr="00150B28">
        <w:rPr>
          <w:rFonts w:asciiTheme="majorHAnsi" w:hAnsiTheme="majorHAnsi" w:cstheme="majorHAnsi"/>
          <w:szCs w:val="24"/>
        </w:rPr>
        <w:t>Larracilla</w:t>
      </w:r>
      <w:proofErr w:type="spellEnd"/>
      <w:r w:rsidRPr="00150B28">
        <w:rPr>
          <w:rFonts w:asciiTheme="majorHAnsi" w:hAnsiTheme="majorHAnsi" w:cstheme="majorHAnsi"/>
          <w:szCs w:val="24"/>
        </w:rPr>
        <w:t xml:space="preserve"> (2019) apunta que la percepción negativa de las matemáticas, su desconexión con aplicaciones prácticas y el desinterés general contribuyen a generar ansiedad hacia esta materia, lo cual impacta directamente en el rendimiento académico. Los hallazgos de García et al. (2023) indican que los estudiantes de ingeniería presentan un nivel moderado de ansiedad matemática, lo que afecta su autoconfianza y subraya la necesidad de abordar este problema.</w:t>
      </w:r>
    </w:p>
    <w:p w14:paraId="2D1692E9" w14:textId="77777777" w:rsidR="007F0B51" w:rsidRPr="00150B28" w:rsidRDefault="007F0B51" w:rsidP="007F0B51">
      <w:pPr>
        <w:spacing w:after="0" w:line="240" w:lineRule="auto"/>
        <w:ind w:right="-7"/>
        <w:jc w:val="both"/>
        <w:rPr>
          <w:rFonts w:asciiTheme="majorHAnsi" w:hAnsiTheme="majorHAnsi" w:cstheme="majorHAnsi"/>
          <w:szCs w:val="24"/>
        </w:rPr>
      </w:pPr>
    </w:p>
    <w:p w14:paraId="761B071B" w14:textId="77777777"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Banega (2022) señala que la ansiedad se vuelve más evidente durante los exámenes, manifestándose en cuatro fases: anticipatoria, de confrontación, de espera y de resultados. Grandis (2009) propone un instrumento para medir las respuestas motoras, cognitivas y fisiológicas durante los exámenes. Estudiar la ansiedad en este contexto es crucial, pues afecta directamente el rendimiento académico, especialmente en matemáticas.</w:t>
      </w:r>
    </w:p>
    <w:p w14:paraId="0C403455" w14:textId="77777777" w:rsidR="007F0B51" w:rsidRPr="00150B28" w:rsidRDefault="007F0B51" w:rsidP="007F0B51">
      <w:pPr>
        <w:spacing w:after="0" w:line="240" w:lineRule="auto"/>
        <w:ind w:right="-7"/>
        <w:jc w:val="both"/>
        <w:rPr>
          <w:rFonts w:asciiTheme="majorHAnsi" w:hAnsiTheme="majorHAnsi" w:cstheme="majorHAnsi"/>
          <w:szCs w:val="24"/>
        </w:rPr>
      </w:pPr>
    </w:p>
    <w:p w14:paraId="108155E3" w14:textId="05EC8C26"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Abordar y entender esta ansiedad permitirá desarrollar estrategias que favorezcan la concentración y el rendimiento académico, mejorando tanto el bienestar emocional de los estudiantes como su preparación profesional. Este estudio se centra en el análisis de los niveles de ansiedad experimentados por los alumnos de primer y segundo semestre de carreras de Bioingeniería al presentar un examen. Se pretende identificar los síntomas de ansiedad con mayor incidencia, las diferencias entre los grupos de interés y evaluar la correlación entre el rendimiento académico en el examen con los niveles de ansiedad presentes en los sujetos.</w:t>
      </w:r>
    </w:p>
    <w:p w14:paraId="0BCD6CD6" w14:textId="77777777" w:rsidR="007F0B51" w:rsidRPr="00150B28" w:rsidRDefault="007F0B51" w:rsidP="007F0B51">
      <w:pPr>
        <w:spacing w:after="0" w:line="240" w:lineRule="auto"/>
        <w:ind w:right="-7"/>
        <w:jc w:val="both"/>
        <w:rPr>
          <w:rFonts w:asciiTheme="majorHAnsi" w:hAnsiTheme="majorHAnsi" w:cstheme="majorHAnsi"/>
          <w:szCs w:val="24"/>
        </w:rPr>
      </w:pPr>
    </w:p>
    <w:p w14:paraId="646573BE" w14:textId="77777777" w:rsidR="00670699" w:rsidRPr="00150B28" w:rsidRDefault="00D16E65" w:rsidP="007F0B51">
      <w:pPr>
        <w:spacing w:after="0" w:line="240" w:lineRule="auto"/>
        <w:jc w:val="center"/>
        <w:rPr>
          <w:rFonts w:asciiTheme="majorHAnsi" w:hAnsiTheme="majorHAnsi" w:cstheme="majorHAnsi"/>
          <w:szCs w:val="24"/>
        </w:rPr>
      </w:pPr>
      <w:r w:rsidRPr="00150B28">
        <w:rPr>
          <w:rFonts w:asciiTheme="majorHAnsi" w:hAnsiTheme="majorHAnsi" w:cstheme="majorHAnsi"/>
          <w:b/>
          <w:szCs w:val="24"/>
        </w:rPr>
        <w:t>Metodología</w:t>
      </w:r>
    </w:p>
    <w:p w14:paraId="487A5E15" w14:textId="77777777" w:rsidR="00D1767F" w:rsidRPr="00150B28" w:rsidRDefault="00D1767F" w:rsidP="007F0B51">
      <w:pPr>
        <w:spacing w:after="0" w:line="240" w:lineRule="auto"/>
        <w:ind w:right="-7" w:firstLine="284"/>
        <w:jc w:val="both"/>
        <w:rPr>
          <w:rFonts w:asciiTheme="majorHAnsi" w:eastAsia="Times New Roman" w:hAnsiTheme="majorHAnsi" w:cstheme="majorHAnsi"/>
          <w:color w:val="000000"/>
          <w:szCs w:val="24"/>
          <w:lang w:eastAsia="es-MX"/>
        </w:rPr>
      </w:pPr>
      <w:r w:rsidRPr="00150B28">
        <w:rPr>
          <w:rFonts w:asciiTheme="majorHAnsi" w:hAnsiTheme="majorHAnsi" w:cstheme="majorHAnsi"/>
          <w:szCs w:val="24"/>
        </w:rPr>
        <w:t>Se conformó una muestra de 422 estudiantes de primer semestre y 273 de segundo semestre de las carreras ofertadas en la Unidad Profesional Interdisciplinaria de Biotecnología de Instituto Politécnico Nacional (Ingeniería Ambiental, Ingeniería Biotecnológica, Ingeniería Biomédica, Ingeniería en alimentos e Ingeniería Farmacéutica) aplicando un muestreo estratificado y aleatorio. Todos los estudiantes considerados tienen una trayectoria académica regular, lo que implica que no han reprobado ninguna materia.</w:t>
      </w:r>
    </w:p>
    <w:p w14:paraId="1978247F" w14:textId="77777777" w:rsidR="00D1767F" w:rsidRPr="00150B28" w:rsidRDefault="00D1767F" w:rsidP="007F0B51">
      <w:pPr>
        <w:spacing w:after="0" w:line="240" w:lineRule="auto"/>
        <w:ind w:right="-7"/>
        <w:jc w:val="both"/>
        <w:rPr>
          <w:rFonts w:asciiTheme="majorHAnsi" w:hAnsiTheme="majorHAnsi" w:cstheme="majorHAnsi"/>
          <w:b/>
          <w:szCs w:val="24"/>
        </w:rPr>
      </w:pPr>
    </w:p>
    <w:p w14:paraId="311CDFF3" w14:textId="77777777" w:rsidR="00D1767F" w:rsidRPr="00150B28" w:rsidRDefault="00D1767F" w:rsidP="007F0B51">
      <w:pPr>
        <w:spacing w:after="0" w:line="240" w:lineRule="auto"/>
        <w:ind w:right="-7"/>
        <w:jc w:val="both"/>
        <w:rPr>
          <w:rFonts w:asciiTheme="majorHAnsi" w:hAnsiTheme="majorHAnsi" w:cstheme="majorHAnsi"/>
          <w:b/>
          <w:szCs w:val="24"/>
        </w:rPr>
      </w:pPr>
      <w:r w:rsidRPr="00150B28">
        <w:rPr>
          <w:rFonts w:asciiTheme="majorHAnsi" w:hAnsiTheme="majorHAnsi" w:cstheme="majorHAnsi"/>
          <w:b/>
          <w:szCs w:val="24"/>
        </w:rPr>
        <w:t xml:space="preserve">Instrumentos </w:t>
      </w:r>
    </w:p>
    <w:p w14:paraId="09D3A450" w14:textId="27AF06F8" w:rsidR="00D1767F" w:rsidRDefault="00D1767F" w:rsidP="007F0B51">
      <w:pPr>
        <w:spacing w:after="0" w:line="240" w:lineRule="auto"/>
        <w:ind w:right="-7" w:firstLine="284"/>
        <w:jc w:val="both"/>
        <w:rPr>
          <w:rFonts w:asciiTheme="majorHAnsi" w:hAnsiTheme="majorHAnsi" w:cstheme="majorHAnsi"/>
          <w:szCs w:val="24"/>
        </w:rPr>
      </w:pPr>
      <w:r w:rsidRPr="00150B28">
        <w:rPr>
          <w:rFonts w:asciiTheme="majorHAnsi" w:hAnsiTheme="majorHAnsi" w:cstheme="majorHAnsi"/>
          <w:szCs w:val="24"/>
        </w:rPr>
        <w:t xml:space="preserve">Para identificar los niveles de ansiedad se aplicó el instrumento de evaluación de la ansiedad frente a los exámenes universitarios de Grandis 2009 (α=0.86) con 5 alternativas de respuesta tipo Likert (1=Nunca, 2=Solamente en una ocasión, 3=En más de una ocasión, 4=Muchas veces, 5=Siempre) con tres factores: Fisiológico (α=0.8581), evitación (α=0.86) y preocupación (α= 0.8808). </w:t>
      </w:r>
    </w:p>
    <w:p w14:paraId="3E6AB8ED" w14:textId="77777777" w:rsidR="00C86EDA" w:rsidRPr="00150B28" w:rsidRDefault="00C86EDA" w:rsidP="007F0B51">
      <w:pPr>
        <w:spacing w:after="0" w:line="240" w:lineRule="auto"/>
        <w:ind w:right="-7" w:firstLine="284"/>
        <w:jc w:val="both"/>
        <w:rPr>
          <w:rFonts w:asciiTheme="majorHAnsi" w:hAnsiTheme="majorHAnsi" w:cstheme="majorHAnsi"/>
          <w:szCs w:val="24"/>
        </w:rPr>
      </w:pPr>
    </w:p>
    <w:p w14:paraId="17533DDF" w14:textId="1B4C7B2F" w:rsidR="00D1767F" w:rsidRDefault="00D1767F" w:rsidP="007F0B51">
      <w:pPr>
        <w:spacing w:after="0" w:line="240" w:lineRule="auto"/>
        <w:ind w:right="-7"/>
        <w:jc w:val="both"/>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Las encuestas se administraron con la aplicación de un formulario en línea</w:t>
      </w:r>
      <w:r w:rsidR="004906CF" w:rsidRPr="00150B28">
        <w:rPr>
          <w:rFonts w:asciiTheme="majorHAnsi" w:eastAsia="Times New Roman" w:hAnsiTheme="majorHAnsi" w:cstheme="majorHAnsi"/>
          <w:color w:val="000000"/>
          <w:szCs w:val="24"/>
          <w:lang w:eastAsia="es-MX"/>
        </w:rPr>
        <w:t xml:space="preserve"> con la</w:t>
      </w:r>
      <w:r w:rsidRPr="00150B28">
        <w:rPr>
          <w:rFonts w:asciiTheme="majorHAnsi" w:eastAsia="Times New Roman" w:hAnsiTheme="majorHAnsi" w:cstheme="majorHAnsi"/>
          <w:color w:val="000000"/>
          <w:szCs w:val="24"/>
          <w:lang w:eastAsia="es-MX"/>
        </w:rPr>
        <w:t xml:space="preserve"> autorización de consentimiento para la participación en el proyecto de investigación. La invitación se realizó por cada profesor que imparte materias del área físico matemáticas al interior de las aulas de clase</w:t>
      </w:r>
      <w:r w:rsidR="004906CF" w:rsidRPr="00150B28">
        <w:rPr>
          <w:rFonts w:asciiTheme="majorHAnsi" w:eastAsia="Times New Roman" w:hAnsiTheme="majorHAnsi" w:cstheme="majorHAnsi"/>
          <w:color w:val="000000"/>
          <w:szCs w:val="24"/>
          <w:lang w:eastAsia="es-MX"/>
        </w:rPr>
        <w:t>.</w:t>
      </w:r>
      <w:r w:rsidRPr="00150B28">
        <w:rPr>
          <w:rFonts w:asciiTheme="majorHAnsi" w:eastAsia="Times New Roman" w:hAnsiTheme="majorHAnsi" w:cstheme="majorHAnsi"/>
          <w:color w:val="000000"/>
          <w:szCs w:val="24"/>
          <w:lang w:eastAsia="es-MX"/>
        </w:rPr>
        <w:t xml:space="preserve"> La aplicación de los instrumentos se realizó en el periodo enero a julio del 2024.</w:t>
      </w:r>
    </w:p>
    <w:p w14:paraId="3AF423BA" w14:textId="77777777" w:rsidR="00C86EDA" w:rsidRPr="00150B28" w:rsidRDefault="00C86EDA" w:rsidP="007F0B51">
      <w:pPr>
        <w:spacing w:after="0" w:line="240" w:lineRule="auto"/>
        <w:ind w:right="-7"/>
        <w:jc w:val="both"/>
        <w:rPr>
          <w:rFonts w:asciiTheme="majorHAnsi" w:eastAsia="Times New Roman" w:hAnsiTheme="majorHAnsi" w:cstheme="majorHAnsi"/>
          <w:color w:val="000000"/>
          <w:szCs w:val="24"/>
          <w:lang w:eastAsia="es-MX"/>
        </w:rPr>
      </w:pPr>
    </w:p>
    <w:p w14:paraId="527EBFB7" w14:textId="70877590"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 xml:space="preserve">Se calcularon los coeficientes de correlación de Spearman entre las calificaciones obtenidas y los niveles de ansiedad, así como pruebas inferenciales de U de Mann Whitney para contraste de pruebas de hipótesis. </w:t>
      </w:r>
      <w:r w:rsidR="00DC19B9" w:rsidRPr="00150B28">
        <w:rPr>
          <w:rFonts w:asciiTheme="majorHAnsi" w:hAnsiTheme="majorHAnsi" w:cstheme="majorHAnsi"/>
          <w:szCs w:val="24"/>
        </w:rPr>
        <w:t>E</w:t>
      </w:r>
      <w:r w:rsidRPr="00150B28">
        <w:rPr>
          <w:rFonts w:asciiTheme="majorHAnsi" w:hAnsiTheme="majorHAnsi" w:cstheme="majorHAnsi"/>
          <w:szCs w:val="24"/>
        </w:rPr>
        <w:t xml:space="preserve">l software </w:t>
      </w:r>
      <w:proofErr w:type="spellStart"/>
      <w:r w:rsidRPr="00150B28">
        <w:rPr>
          <w:rFonts w:asciiTheme="majorHAnsi" w:hAnsiTheme="majorHAnsi" w:cstheme="majorHAnsi"/>
          <w:szCs w:val="24"/>
        </w:rPr>
        <w:t>GraphPad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Prism</w:t>
      </w:r>
      <w:proofErr w:type="spellEnd"/>
      <w:r w:rsidRPr="00150B28">
        <w:rPr>
          <w:rFonts w:asciiTheme="majorHAnsi" w:hAnsiTheme="majorHAnsi" w:cstheme="majorHAnsi"/>
          <w:szCs w:val="24"/>
        </w:rPr>
        <w:t xml:space="preserve"> 10 </w:t>
      </w:r>
      <w:r w:rsidR="00DC19B9" w:rsidRPr="00150B28">
        <w:rPr>
          <w:rFonts w:asciiTheme="majorHAnsi" w:hAnsiTheme="majorHAnsi" w:cstheme="majorHAnsi"/>
          <w:szCs w:val="24"/>
        </w:rPr>
        <w:t xml:space="preserve">se utilizó </w:t>
      </w:r>
      <w:r w:rsidRPr="00150B28">
        <w:rPr>
          <w:rFonts w:asciiTheme="majorHAnsi" w:hAnsiTheme="majorHAnsi" w:cstheme="majorHAnsi"/>
          <w:szCs w:val="24"/>
        </w:rPr>
        <w:t>en el análisis estadístico. Los resultados se presentan en tablas y gráficas para su discusión.</w:t>
      </w:r>
    </w:p>
    <w:p w14:paraId="25DC20BC" w14:textId="77777777" w:rsidR="00C86EDA" w:rsidRPr="00150B28" w:rsidRDefault="00C86EDA" w:rsidP="007F0B51">
      <w:pPr>
        <w:spacing w:after="0" w:line="240" w:lineRule="auto"/>
        <w:ind w:right="-7"/>
        <w:jc w:val="both"/>
        <w:rPr>
          <w:rFonts w:asciiTheme="majorHAnsi" w:hAnsiTheme="majorHAnsi" w:cstheme="majorHAnsi"/>
          <w:szCs w:val="24"/>
        </w:rPr>
      </w:pPr>
    </w:p>
    <w:p w14:paraId="2554DDA5" w14:textId="293E005F" w:rsidR="00670699" w:rsidRDefault="00D16E65" w:rsidP="00C86EDA">
      <w:pPr>
        <w:spacing w:after="0" w:line="240" w:lineRule="auto"/>
        <w:jc w:val="center"/>
        <w:rPr>
          <w:rFonts w:asciiTheme="majorHAnsi" w:hAnsiTheme="majorHAnsi" w:cstheme="majorHAnsi"/>
          <w:b/>
          <w:szCs w:val="24"/>
        </w:rPr>
      </w:pPr>
      <w:r w:rsidRPr="00150B28">
        <w:rPr>
          <w:rFonts w:asciiTheme="majorHAnsi" w:hAnsiTheme="majorHAnsi" w:cstheme="majorHAnsi"/>
          <w:b/>
          <w:szCs w:val="24"/>
        </w:rPr>
        <w:t>Resultados</w:t>
      </w:r>
    </w:p>
    <w:p w14:paraId="0A03917A" w14:textId="77777777" w:rsidR="00C86EDA" w:rsidRPr="00150B28" w:rsidRDefault="00C86EDA" w:rsidP="00C86EDA">
      <w:pPr>
        <w:spacing w:after="0" w:line="240" w:lineRule="auto"/>
        <w:jc w:val="center"/>
        <w:rPr>
          <w:rFonts w:asciiTheme="majorHAnsi" w:hAnsiTheme="majorHAnsi" w:cstheme="majorHAnsi"/>
          <w:szCs w:val="24"/>
        </w:rPr>
      </w:pPr>
    </w:p>
    <w:p w14:paraId="49A44797" w14:textId="77777777" w:rsidR="00701339" w:rsidRPr="00150B28" w:rsidRDefault="00701339"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Análisis descriptivo.</w:t>
      </w:r>
    </w:p>
    <w:p w14:paraId="3E5B5548" w14:textId="5FAF62A9" w:rsidR="00701339" w:rsidRDefault="00701339"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En el primer semestre participaron 422 estudiantes</w:t>
      </w:r>
      <w:r w:rsidR="00783EB1" w:rsidRPr="00150B28">
        <w:rPr>
          <w:rFonts w:asciiTheme="majorHAnsi" w:hAnsiTheme="majorHAnsi" w:cstheme="majorHAnsi"/>
          <w:szCs w:val="24"/>
        </w:rPr>
        <w:t xml:space="preserve"> con edad promedio de 18.7 años (s= 0.75)</w:t>
      </w:r>
      <w:r w:rsidRPr="00150B28">
        <w:rPr>
          <w:rFonts w:asciiTheme="majorHAnsi" w:hAnsiTheme="majorHAnsi" w:cstheme="majorHAnsi"/>
          <w:szCs w:val="24"/>
        </w:rPr>
        <w:t>, de los cuales el 41.47% son hombres y el 58.53% son mujeres. En el segundo semestre, la muestra de 273 estudiantes</w:t>
      </w:r>
      <w:r w:rsidR="00783EB1" w:rsidRPr="00150B28">
        <w:rPr>
          <w:rFonts w:asciiTheme="majorHAnsi" w:hAnsiTheme="majorHAnsi" w:cstheme="majorHAnsi"/>
          <w:szCs w:val="24"/>
        </w:rPr>
        <w:t xml:space="preserve"> con edad promedio de 20.4 años (s= 0.56),</w:t>
      </w:r>
      <w:r w:rsidRPr="00150B28">
        <w:rPr>
          <w:rFonts w:asciiTheme="majorHAnsi" w:hAnsiTheme="majorHAnsi" w:cstheme="majorHAnsi"/>
          <w:szCs w:val="24"/>
        </w:rPr>
        <w:t xml:space="preserve"> tiene un 42.86% de hombres y un 57.14% de mujeres </w:t>
      </w:r>
    </w:p>
    <w:p w14:paraId="3C886BC8" w14:textId="77777777" w:rsidR="00C86EDA" w:rsidRPr="00150B28" w:rsidRDefault="00C86EDA" w:rsidP="007F0B51">
      <w:pPr>
        <w:spacing w:after="0" w:line="240" w:lineRule="auto"/>
        <w:jc w:val="both"/>
        <w:rPr>
          <w:rFonts w:asciiTheme="majorHAnsi" w:hAnsiTheme="majorHAnsi" w:cstheme="majorHAnsi"/>
          <w:szCs w:val="24"/>
        </w:rPr>
      </w:pPr>
    </w:p>
    <w:p w14:paraId="50E3746F" w14:textId="402DD9F2" w:rsidR="00701339" w:rsidRPr="00150B28" w:rsidRDefault="00F12F1B"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La evaluación de ansiedad en los alumnos de primer semestre se muestra</w:t>
      </w:r>
      <w:r w:rsidR="00701339" w:rsidRPr="00150B28">
        <w:rPr>
          <w:rFonts w:asciiTheme="majorHAnsi" w:hAnsiTheme="majorHAnsi" w:cstheme="majorHAnsi"/>
          <w:szCs w:val="24"/>
        </w:rPr>
        <w:t xml:space="preserve"> en la Figura 1. Las gráficas analizan tres dimensiones: factor fisiológico, evitación y preocupación. En el centro de cada gráfico, se muestra la distribución porcentual de los niveles de ansiedad: alto (</w:t>
      </w:r>
      <w:r w:rsidR="001710E1" w:rsidRPr="00150B28">
        <w:rPr>
          <w:rFonts w:asciiTheme="majorHAnsi" w:hAnsiTheme="majorHAnsi" w:cstheme="majorHAnsi"/>
          <w:szCs w:val="24"/>
        </w:rPr>
        <w:t>rojo</w:t>
      </w:r>
      <w:r w:rsidR="00701339" w:rsidRPr="00150B28">
        <w:rPr>
          <w:rFonts w:asciiTheme="majorHAnsi" w:hAnsiTheme="majorHAnsi" w:cstheme="majorHAnsi"/>
          <w:szCs w:val="24"/>
        </w:rPr>
        <w:t>), medio (</w:t>
      </w:r>
      <w:r w:rsidR="001710E1" w:rsidRPr="00150B28">
        <w:rPr>
          <w:rFonts w:asciiTheme="majorHAnsi" w:hAnsiTheme="majorHAnsi" w:cstheme="majorHAnsi"/>
          <w:szCs w:val="24"/>
        </w:rPr>
        <w:t>azul</w:t>
      </w:r>
      <w:r w:rsidR="00701339" w:rsidRPr="00150B28">
        <w:rPr>
          <w:rFonts w:asciiTheme="majorHAnsi" w:hAnsiTheme="majorHAnsi" w:cstheme="majorHAnsi"/>
          <w:szCs w:val="24"/>
        </w:rPr>
        <w:t>) y bajo (</w:t>
      </w:r>
      <w:r w:rsidR="001710E1" w:rsidRPr="00150B28">
        <w:rPr>
          <w:rFonts w:asciiTheme="majorHAnsi" w:hAnsiTheme="majorHAnsi" w:cstheme="majorHAnsi"/>
          <w:szCs w:val="24"/>
        </w:rPr>
        <w:t>verde</w:t>
      </w:r>
      <w:r w:rsidR="00701339" w:rsidRPr="00150B28">
        <w:rPr>
          <w:rFonts w:asciiTheme="majorHAnsi" w:hAnsiTheme="majorHAnsi" w:cstheme="majorHAnsi"/>
          <w:szCs w:val="24"/>
        </w:rPr>
        <w:t>). El contorno externo indica el porcentaje por sexo en cada nivel: mujeres (morado) y hombres (azul</w:t>
      </w:r>
      <w:r w:rsidR="001710E1" w:rsidRPr="00150B28">
        <w:rPr>
          <w:rFonts w:asciiTheme="majorHAnsi" w:hAnsiTheme="majorHAnsi" w:cstheme="majorHAnsi"/>
          <w:szCs w:val="24"/>
        </w:rPr>
        <w:t xml:space="preserve"> claro</w:t>
      </w:r>
      <w:r w:rsidR="00701339" w:rsidRPr="00150B28">
        <w:rPr>
          <w:rFonts w:asciiTheme="majorHAnsi" w:hAnsiTheme="majorHAnsi" w:cstheme="majorHAnsi"/>
          <w:szCs w:val="24"/>
        </w:rPr>
        <w:t xml:space="preserve">). </w:t>
      </w:r>
    </w:p>
    <w:p w14:paraId="6A6FC5D3" w14:textId="5542E858" w:rsidR="00D1767F" w:rsidRDefault="00701339"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En el factor fisiológico, el 76% de los encuestados del primer semestre presenta un nivel bajo de ansiedad, el 15% un nivel medio y el 9% un nivel alto. En el factor de evitación, el 92% reporta un nivel bajo, el 6% medio y el 2% alto. Para el factor preocupación, el 54% tiene un nivel bajo, el 32% medio y el 14% alto.</w:t>
      </w:r>
    </w:p>
    <w:p w14:paraId="67E3E795" w14:textId="77777777" w:rsidR="00C86EDA" w:rsidRPr="00150B28" w:rsidRDefault="00C86EDA" w:rsidP="007F0B51">
      <w:pPr>
        <w:spacing w:after="0" w:line="240" w:lineRule="auto"/>
        <w:jc w:val="both"/>
        <w:rPr>
          <w:rFonts w:asciiTheme="majorHAnsi" w:hAnsiTheme="majorHAnsi" w:cstheme="majorHAnsi"/>
          <w:szCs w:val="24"/>
        </w:rPr>
      </w:pPr>
    </w:p>
    <w:p w14:paraId="02D84EAA" w14:textId="6D44A3DC" w:rsidR="00505CFC" w:rsidRPr="00150B28" w:rsidRDefault="00505CFC" w:rsidP="007F0B51">
      <w:pPr>
        <w:spacing w:after="0" w:line="240" w:lineRule="auto"/>
        <w:jc w:val="both"/>
        <w:rPr>
          <w:rFonts w:asciiTheme="majorHAnsi" w:hAnsiTheme="majorHAnsi" w:cstheme="majorHAnsi"/>
          <w:szCs w:val="24"/>
        </w:rPr>
      </w:pPr>
      <w:r w:rsidRPr="00150B28">
        <w:rPr>
          <w:rFonts w:asciiTheme="majorHAnsi" w:hAnsiTheme="majorHAnsi" w:cstheme="majorHAnsi"/>
          <w:bCs/>
          <w:szCs w:val="24"/>
        </w:rPr>
        <w:t xml:space="preserve">Figura 1: Distribución porcentual de los niveles de ansiedad </w:t>
      </w:r>
      <w:r w:rsidR="007D2EBE" w:rsidRPr="00150B28">
        <w:rPr>
          <w:rFonts w:asciiTheme="majorHAnsi" w:hAnsiTheme="majorHAnsi" w:cstheme="majorHAnsi"/>
          <w:bCs/>
          <w:szCs w:val="24"/>
        </w:rPr>
        <w:t xml:space="preserve">en 1° semestre </w:t>
      </w:r>
      <w:r w:rsidRPr="00150B28">
        <w:rPr>
          <w:rFonts w:asciiTheme="majorHAnsi" w:hAnsiTheme="majorHAnsi" w:cstheme="majorHAnsi"/>
          <w:bCs/>
          <w:szCs w:val="24"/>
        </w:rPr>
        <w:t>para los diferentes factores y los porcentajes de hombres y mujeres en cada nivel.</w:t>
      </w:r>
    </w:p>
    <w:p w14:paraId="5885B155" w14:textId="746A12CD" w:rsidR="00505CFC" w:rsidRPr="00150B28" w:rsidRDefault="00505CFC" w:rsidP="007F0B51">
      <w:pPr>
        <w:spacing w:after="0" w:line="240" w:lineRule="auto"/>
        <w:rPr>
          <w:rFonts w:asciiTheme="majorHAnsi" w:hAnsiTheme="majorHAnsi" w:cstheme="majorHAnsi"/>
          <w:b/>
          <w:szCs w:val="24"/>
        </w:rPr>
      </w:pPr>
      <w:r w:rsidRPr="00150B28">
        <w:rPr>
          <w:rFonts w:asciiTheme="majorHAnsi" w:hAnsiTheme="majorHAnsi" w:cstheme="majorHAnsi"/>
          <w:noProof/>
          <w:szCs w:val="24"/>
        </w:rPr>
        <w:drawing>
          <wp:inline distT="0" distB="0" distL="0" distR="0" wp14:anchorId="47ADEC9C" wp14:editId="7F40CF9F">
            <wp:extent cx="5486400" cy="16078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1607820"/>
                    </a:xfrm>
                    <a:prstGeom prst="rect">
                      <a:avLst/>
                    </a:prstGeom>
                  </pic:spPr>
                </pic:pic>
              </a:graphicData>
            </a:graphic>
          </wp:inline>
        </w:drawing>
      </w:r>
    </w:p>
    <w:p w14:paraId="24602F0C" w14:textId="10E8E566" w:rsidR="00505CFC" w:rsidRDefault="00505CFC" w:rsidP="007F0B51">
      <w:pPr>
        <w:spacing w:after="0" w:line="240" w:lineRule="auto"/>
        <w:jc w:val="both"/>
        <w:rPr>
          <w:rFonts w:asciiTheme="majorHAnsi" w:hAnsiTheme="majorHAnsi" w:cstheme="majorHAnsi"/>
          <w:bCs/>
          <w:szCs w:val="24"/>
        </w:rPr>
      </w:pPr>
      <w:r w:rsidRPr="00150B28">
        <w:rPr>
          <w:rFonts w:asciiTheme="majorHAnsi" w:hAnsiTheme="majorHAnsi" w:cstheme="majorHAnsi"/>
          <w:bCs/>
          <w:szCs w:val="24"/>
        </w:rPr>
        <w:t>La Figura 2 muestra los resultados de la distribución por factor y sexo para el segundo semestre. En el factor fisiológico el 84% de los encuestados presenta un nivel bajo, el 13% medio y el 3% alto. En el factor evitación, el 98% presenta un nivel bajo, mientras que el 2% restante de la muestra tiene un nivel alto. En el factor preocupación, el 62% tiene un nivel bajo de ansiedad, el 32% medio y el 6% alto.</w:t>
      </w:r>
    </w:p>
    <w:p w14:paraId="5FC609DD" w14:textId="77777777" w:rsidR="00C86EDA" w:rsidRDefault="00C86EDA" w:rsidP="007F0B51">
      <w:pPr>
        <w:spacing w:after="0" w:line="240" w:lineRule="auto"/>
        <w:jc w:val="both"/>
        <w:rPr>
          <w:rFonts w:asciiTheme="majorHAnsi" w:hAnsiTheme="majorHAnsi" w:cstheme="majorHAnsi"/>
          <w:bCs/>
          <w:szCs w:val="24"/>
        </w:rPr>
      </w:pPr>
    </w:p>
    <w:p w14:paraId="6CC4FA23" w14:textId="77777777" w:rsidR="00C86EDA" w:rsidRDefault="00C86EDA" w:rsidP="007F0B51">
      <w:pPr>
        <w:spacing w:after="0" w:line="240" w:lineRule="auto"/>
        <w:jc w:val="both"/>
        <w:rPr>
          <w:rFonts w:asciiTheme="majorHAnsi" w:hAnsiTheme="majorHAnsi" w:cstheme="majorHAnsi"/>
          <w:bCs/>
          <w:szCs w:val="24"/>
        </w:rPr>
      </w:pPr>
    </w:p>
    <w:p w14:paraId="7E9DE05B" w14:textId="77777777" w:rsidR="00C86EDA" w:rsidRPr="00150B28" w:rsidRDefault="00C86EDA" w:rsidP="007F0B51">
      <w:pPr>
        <w:spacing w:after="0" w:line="240" w:lineRule="auto"/>
        <w:jc w:val="both"/>
        <w:rPr>
          <w:rFonts w:asciiTheme="majorHAnsi" w:hAnsiTheme="majorHAnsi" w:cstheme="majorHAnsi"/>
          <w:bCs/>
          <w:szCs w:val="24"/>
        </w:rPr>
      </w:pPr>
    </w:p>
    <w:p w14:paraId="317AAB3B" w14:textId="03B43ADE" w:rsidR="009333F5" w:rsidRPr="00150B28" w:rsidRDefault="009333F5" w:rsidP="007F0B51">
      <w:pPr>
        <w:spacing w:after="0" w:line="240" w:lineRule="auto"/>
        <w:jc w:val="both"/>
        <w:rPr>
          <w:rFonts w:asciiTheme="majorHAnsi" w:hAnsiTheme="majorHAnsi" w:cstheme="majorHAnsi"/>
          <w:szCs w:val="24"/>
        </w:rPr>
      </w:pPr>
      <w:r w:rsidRPr="00150B28">
        <w:rPr>
          <w:rFonts w:asciiTheme="majorHAnsi" w:hAnsiTheme="majorHAnsi" w:cstheme="majorHAnsi"/>
          <w:bCs/>
          <w:szCs w:val="24"/>
        </w:rPr>
        <w:t>Figura 2: Distribución porcentual de los niveles de ansiedad en 2° semestre para los diferentes factores y los porcentajes de hombres y mujeres en cada nivel.</w:t>
      </w:r>
    </w:p>
    <w:p w14:paraId="447C4C17" w14:textId="734750BA" w:rsidR="00786193" w:rsidRPr="00150B28" w:rsidRDefault="00786193" w:rsidP="007F0B51">
      <w:pPr>
        <w:spacing w:after="0" w:line="240" w:lineRule="auto"/>
        <w:jc w:val="both"/>
        <w:rPr>
          <w:rFonts w:asciiTheme="majorHAnsi" w:hAnsiTheme="majorHAnsi" w:cstheme="majorHAnsi"/>
          <w:bCs/>
          <w:szCs w:val="24"/>
        </w:rPr>
      </w:pPr>
      <w:r w:rsidRPr="00150B28">
        <w:rPr>
          <w:rFonts w:asciiTheme="majorHAnsi" w:hAnsiTheme="majorHAnsi" w:cstheme="majorHAnsi"/>
          <w:noProof/>
          <w:szCs w:val="24"/>
        </w:rPr>
        <w:drawing>
          <wp:inline distT="0" distB="0" distL="0" distR="0" wp14:anchorId="11F0F638" wp14:editId="54965E5D">
            <wp:extent cx="5486400" cy="163639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6400" cy="1636395"/>
                    </a:xfrm>
                    <a:prstGeom prst="rect">
                      <a:avLst/>
                    </a:prstGeom>
                  </pic:spPr>
                </pic:pic>
              </a:graphicData>
            </a:graphic>
          </wp:inline>
        </w:drawing>
      </w:r>
    </w:p>
    <w:p w14:paraId="17A86719" w14:textId="3287F709" w:rsidR="00786193" w:rsidRPr="00150B28" w:rsidRDefault="00786193" w:rsidP="007F0B51">
      <w:pPr>
        <w:spacing w:after="0" w:line="240" w:lineRule="auto"/>
        <w:jc w:val="both"/>
        <w:rPr>
          <w:rFonts w:asciiTheme="majorHAnsi" w:hAnsiTheme="majorHAnsi" w:cstheme="majorHAnsi"/>
          <w:bCs/>
          <w:szCs w:val="24"/>
        </w:rPr>
      </w:pPr>
    </w:p>
    <w:p w14:paraId="251CDCA7" w14:textId="2907785E" w:rsidR="00786193" w:rsidRDefault="003E320A" w:rsidP="007F0B51">
      <w:pPr>
        <w:spacing w:after="0" w:line="240" w:lineRule="auto"/>
        <w:jc w:val="both"/>
        <w:rPr>
          <w:rFonts w:asciiTheme="majorHAnsi" w:hAnsiTheme="majorHAnsi" w:cstheme="majorHAnsi"/>
          <w:bCs/>
          <w:szCs w:val="24"/>
        </w:rPr>
      </w:pPr>
      <w:r w:rsidRPr="00150B28">
        <w:rPr>
          <w:rFonts w:asciiTheme="majorHAnsi" w:hAnsiTheme="majorHAnsi" w:cstheme="majorHAnsi"/>
          <w:bCs/>
          <w:szCs w:val="24"/>
        </w:rPr>
        <w:t>Dado que un mismo individuo puede experimentar ansiedad en más de un factor, se realizó un análisis de todas las combinaciones posibles de los niveles de ansiedad por factor en cada sujeto. Este enfoque resulta útil para establecer el nivel de ansiedad global que presenta cada participante de la muestra. La Tabla 1 presenta todas las combinaciones encontradas en la muestra de estudio. En las tres primeras columnas se especifica el factor asociado a cada nivel de ansiedad; y se asignó una puntuación de cero al nivel bajo, uno al nivel medio y 2 al nivel alto. A partir de estas puntuaciones, se calculó una suma que se refleja en la cuarta columna, correspondiente al nivel de ansiedad global de los individuos. La quinta y sexta columna muestran la frecuencia absoluta y relativa en relación con el total de la muestra de estudiantes de primer semestre respectivamente. De manera similar, las columnas siete y ocho reflejan las frecuencias absoluta y relativa de los estudiantes de segundo semestre.</w:t>
      </w:r>
    </w:p>
    <w:p w14:paraId="015C06E1" w14:textId="77777777" w:rsidR="00C86EDA" w:rsidRPr="00150B28" w:rsidRDefault="00C86EDA" w:rsidP="007F0B51">
      <w:pPr>
        <w:spacing w:after="0" w:line="240" w:lineRule="auto"/>
        <w:jc w:val="both"/>
        <w:rPr>
          <w:rFonts w:asciiTheme="majorHAnsi" w:hAnsiTheme="majorHAnsi" w:cstheme="majorHAnsi"/>
          <w:bCs/>
          <w:szCs w:val="24"/>
        </w:rPr>
      </w:pPr>
    </w:p>
    <w:p w14:paraId="66E5F73D" w14:textId="77777777" w:rsidR="007D2EBE" w:rsidRDefault="007D2EBE" w:rsidP="007F0B51">
      <w:pPr>
        <w:spacing w:after="0" w:line="240" w:lineRule="auto"/>
        <w:jc w:val="both"/>
        <w:rPr>
          <w:rFonts w:asciiTheme="majorHAnsi" w:hAnsiTheme="majorHAnsi" w:cstheme="majorHAnsi"/>
          <w:bCs/>
          <w:szCs w:val="24"/>
        </w:rPr>
      </w:pPr>
      <w:r w:rsidRPr="00150B28">
        <w:rPr>
          <w:rFonts w:asciiTheme="majorHAnsi" w:hAnsiTheme="majorHAnsi" w:cstheme="majorHAnsi"/>
          <w:bCs/>
          <w:szCs w:val="24"/>
        </w:rPr>
        <w:t xml:space="preserve">Los valores en la Tabla 1 se ordenan en forma descendente para resaltar las combinaciones más predominantes, encontrando en primer lugar a la categoría caracterizada por niveles bajos en todos los factores y una puntuación global de cero, con una incidencia del 53.1% en el primer semestre y del 60.4% en el segundo. La segunda categoría, con un nivel de ansiedad global de uno, se distingue por mostrar niveles bajos en los factores fisiológico y de evitación, pero medio en el factor preocupación; su prevalencia es del 20.1% en el primer semestre y del 21.6% en el segundo. Las incidencias de todas las categorías se pueden consultar directamente en la Tabla 1. </w:t>
      </w:r>
    </w:p>
    <w:p w14:paraId="5B5A3AF4" w14:textId="77777777" w:rsidR="00C86EDA" w:rsidRDefault="00C86EDA" w:rsidP="007F0B51">
      <w:pPr>
        <w:spacing w:after="0" w:line="240" w:lineRule="auto"/>
        <w:jc w:val="both"/>
        <w:rPr>
          <w:rFonts w:asciiTheme="majorHAnsi" w:hAnsiTheme="majorHAnsi" w:cstheme="majorHAnsi"/>
          <w:bCs/>
          <w:szCs w:val="24"/>
        </w:rPr>
      </w:pPr>
    </w:p>
    <w:p w14:paraId="748BE0C9" w14:textId="77777777" w:rsidR="00C86EDA" w:rsidRDefault="00C86EDA" w:rsidP="007F0B51">
      <w:pPr>
        <w:spacing w:after="0" w:line="240" w:lineRule="auto"/>
        <w:jc w:val="both"/>
        <w:rPr>
          <w:rFonts w:asciiTheme="majorHAnsi" w:hAnsiTheme="majorHAnsi" w:cstheme="majorHAnsi"/>
          <w:bCs/>
          <w:szCs w:val="24"/>
        </w:rPr>
      </w:pPr>
    </w:p>
    <w:p w14:paraId="51DE871D" w14:textId="77777777" w:rsidR="00C86EDA" w:rsidRDefault="00C86EDA" w:rsidP="007F0B51">
      <w:pPr>
        <w:spacing w:after="0" w:line="240" w:lineRule="auto"/>
        <w:jc w:val="both"/>
        <w:rPr>
          <w:rFonts w:asciiTheme="majorHAnsi" w:hAnsiTheme="majorHAnsi" w:cstheme="majorHAnsi"/>
          <w:bCs/>
          <w:szCs w:val="24"/>
        </w:rPr>
      </w:pPr>
    </w:p>
    <w:p w14:paraId="4720E972" w14:textId="77777777" w:rsidR="00C86EDA" w:rsidRDefault="00C86EDA" w:rsidP="007F0B51">
      <w:pPr>
        <w:spacing w:after="0" w:line="240" w:lineRule="auto"/>
        <w:jc w:val="both"/>
        <w:rPr>
          <w:rFonts w:asciiTheme="majorHAnsi" w:hAnsiTheme="majorHAnsi" w:cstheme="majorHAnsi"/>
          <w:bCs/>
          <w:szCs w:val="24"/>
        </w:rPr>
      </w:pPr>
    </w:p>
    <w:p w14:paraId="618E9BD2" w14:textId="77777777" w:rsidR="00C86EDA" w:rsidRDefault="00C86EDA" w:rsidP="007F0B51">
      <w:pPr>
        <w:spacing w:after="0" w:line="240" w:lineRule="auto"/>
        <w:jc w:val="both"/>
        <w:rPr>
          <w:rFonts w:asciiTheme="majorHAnsi" w:hAnsiTheme="majorHAnsi" w:cstheme="majorHAnsi"/>
          <w:bCs/>
          <w:szCs w:val="24"/>
        </w:rPr>
      </w:pPr>
    </w:p>
    <w:p w14:paraId="15313B7D" w14:textId="77777777" w:rsidR="00C86EDA" w:rsidRDefault="00C86EDA" w:rsidP="007F0B51">
      <w:pPr>
        <w:spacing w:after="0" w:line="240" w:lineRule="auto"/>
        <w:jc w:val="both"/>
        <w:rPr>
          <w:rFonts w:asciiTheme="majorHAnsi" w:hAnsiTheme="majorHAnsi" w:cstheme="majorHAnsi"/>
          <w:bCs/>
          <w:szCs w:val="24"/>
        </w:rPr>
      </w:pPr>
    </w:p>
    <w:p w14:paraId="251DB15B" w14:textId="77777777" w:rsidR="00C86EDA" w:rsidRDefault="00C86EDA" w:rsidP="007F0B51">
      <w:pPr>
        <w:spacing w:after="0" w:line="240" w:lineRule="auto"/>
        <w:jc w:val="both"/>
        <w:rPr>
          <w:rFonts w:asciiTheme="majorHAnsi" w:hAnsiTheme="majorHAnsi" w:cstheme="majorHAnsi"/>
          <w:bCs/>
          <w:szCs w:val="24"/>
        </w:rPr>
      </w:pPr>
    </w:p>
    <w:p w14:paraId="00F9D0D1" w14:textId="77777777" w:rsidR="00C86EDA" w:rsidRDefault="00C86EDA" w:rsidP="007F0B51">
      <w:pPr>
        <w:spacing w:after="0" w:line="240" w:lineRule="auto"/>
        <w:jc w:val="both"/>
        <w:rPr>
          <w:rFonts w:asciiTheme="majorHAnsi" w:hAnsiTheme="majorHAnsi" w:cstheme="majorHAnsi"/>
          <w:bCs/>
          <w:szCs w:val="24"/>
        </w:rPr>
      </w:pPr>
    </w:p>
    <w:p w14:paraId="665B58C7" w14:textId="77777777" w:rsidR="00C86EDA" w:rsidRDefault="00C86EDA" w:rsidP="007F0B51">
      <w:pPr>
        <w:spacing w:after="0" w:line="240" w:lineRule="auto"/>
        <w:jc w:val="both"/>
        <w:rPr>
          <w:rFonts w:asciiTheme="majorHAnsi" w:hAnsiTheme="majorHAnsi" w:cstheme="majorHAnsi"/>
          <w:bCs/>
          <w:szCs w:val="24"/>
        </w:rPr>
      </w:pPr>
    </w:p>
    <w:p w14:paraId="47F96966" w14:textId="77777777" w:rsidR="00C86EDA" w:rsidRDefault="00C86EDA" w:rsidP="007F0B51">
      <w:pPr>
        <w:spacing w:after="0" w:line="240" w:lineRule="auto"/>
        <w:jc w:val="both"/>
        <w:rPr>
          <w:rFonts w:asciiTheme="majorHAnsi" w:hAnsiTheme="majorHAnsi" w:cstheme="majorHAnsi"/>
          <w:bCs/>
          <w:szCs w:val="24"/>
        </w:rPr>
      </w:pPr>
    </w:p>
    <w:p w14:paraId="1BA406B2" w14:textId="77777777" w:rsidR="00C86EDA" w:rsidRDefault="00C86EDA" w:rsidP="007F0B51">
      <w:pPr>
        <w:spacing w:after="0" w:line="240" w:lineRule="auto"/>
        <w:jc w:val="both"/>
        <w:rPr>
          <w:rFonts w:asciiTheme="majorHAnsi" w:hAnsiTheme="majorHAnsi" w:cstheme="majorHAnsi"/>
          <w:bCs/>
          <w:szCs w:val="24"/>
        </w:rPr>
      </w:pPr>
    </w:p>
    <w:p w14:paraId="1A5D6425" w14:textId="77777777" w:rsidR="00C86EDA" w:rsidRDefault="00C86EDA" w:rsidP="007F0B51">
      <w:pPr>
        <w:spacing w:after="0" w:line="240" w:lineRule="auto"/>
        <w:jc w:val="both"/>
        <w:rPr>
          <w:rFonts w:asciiTheme="majorHAnsi" w:hAnsiTheme="majorHAnsi" w:cstheme="majorHAnsi"/>
          <w:bCs/>
          <w:szCs w:val="24"/>
        </w:rPr>
      </w:pPr>
    </w:p>
    <w:p w14:paraId="69A781F8" w14:textId="77777777" w:rsidR="00C86EDA" w:rsidRDefault="00C86EDA" w:rsidP="007F0B51">
      <w:pPr>
        <w:spacing w:after="0" w:line="240" w:lineRule="auto"/>
        <w:jc w:val="both"/>
        <w:rPr>
          <w:rFonts w:asciiTheme="majorHAnsi" w:hAnsiTheme="majorHAnsi" w:cstheme="majorHAnsi"/>
          <w:bCs/>
          <w:szCs w:val="24"/>
        </w:rPr>
      </w:pPr>
    </w:p>
    <w:p w14:paraId="4B350CF4" w14:textId="77777777" w:rsidR="00C86EDA" w:rsidRPr="00150B28" w:rsidRDefault="00C86EDA" w:rsidP="007F0B51">
      <w:pPr>
        <w:spacing w:after="0" w:line="240" w:lineRule="auto"/>
        <w:jc w:val="both"/>
        <w:rPr>
          <w:rFonts w:asciiTheme="majorHAnsi" w:hAnsiTheme="majorHAnsi" w:cstheme="majorHAnsi"/>
          <w:bCs/>
          <w:szCs w:val="24"/>
        </w:rPr>
      </w:pPr>
    </w:p>
    <w:p w14:paraId="2A23CC56" w14:textId="10B2A959" w:rsidR="00786193" w:rsidRPr="00150B28" w:rsidRDefault="00034EEB" w:rsidP="007F0B51">
      <w:pPr>
        <w:spacing w:after="0" w:line="240" w:lineRule="auto"/>
        <w:jc w:val="both"/>
        <w:rPr>
          <w:rFonts w:asciiTheme="majorHAnsi" w:hAnsiTheme="majorHAnsi" w:cstheme="majorHAnsi"/>
          <w:bCs/>
          <w:szCs w:val="24"/>
        </w:rPr>
      </w:pPr>
      <w:r w:rsidRPr="00150B28">
        <w:rPr>
          <w:rFonts w:asciiTheme="majorHAnsi" w:hAnsiTheme="majorHAnsi" w:cstheme="majorHAnsi"/>
          <w:bCs/>
          <w:szCs w:val="24"/>
        </w:rPr>
        <w:t xml:space="preserve">Tabla 1: </w:t>
      </w:r>
      <w:r w:rsidR="00576DEB" w:rsidRPr="00150B28">
        <w:rPr>
          <w:rFonts w:asciiTheme="majorHAnsi" w:hAnsiTheme="majorHAnsi" w:cstheme="majorHAnsi"/>
          <w:bCs/>
          <w:szCs w:val="24"/>
        </w:rPr>
        <w:t>Distribución de los factores de ansiedad en n</w:t>
      </w:r>
      <w:r w:rsidR="007D2EBE" w:rsidRPr="00150B28">
        <w:rPr>
          <w:rFonts w:asciiTheme="majorHAnsi" w:hAnsiTheme="majorHAnsi" w:cstheme="majorHAnsi"/>
          <w:bCs/>
          <w:szCs w:val="24"/>
        </w:rPr>
        <w:t>iveles globales de ansiedad</w:t>
      </w:r>
      <w:r w:rsidR="00576DEB" w:rsidRPr="00150B28">
        <w:rPr>
          <w:rFonts w:asciiTheme="majorHAnsi" w:hAnsiTheme="majorHAnsi" w:cstheme="majorHAnsi"/>
          <w:bCs/>
          <w:szCs w:val="24"/>
        </w:rPr>
        <w:t>.</w:t>
      </w:r>
    </w:p>
    <w:tbl>
      <w:tblPr>
        <w:tblW w:w="5000" w:type="pct"/>
        <w:tblCellMar>
          <w:left w:w="70" w:type="dxa"/>
          <w:right w:w="70" w:type="dxa"/>
        </w:tblCellMar>
        <w:tblLook w:val="04A0" w:firstRow="1" w:lastRow="0" w:firstColumn="1" w:lastColumn="0" w:noHBand="0" w:noVBand="1"/>
      </w:tblPr>
      <w:tblGrid>
        <w:gridCol w:w="1420"/>
        <w:gridCol w:w="1420"/>
        <w:gridCol w:w="1663"/>
        <w:gridCol w:w="1121"/>
        <w:gridCol w:w="1365"/>
        <w:gridCol w:w="724"/>
        <w:gridCol w:w="278"/>
        <w:gridCol w:w="1365"/>
        <w:gridCol w:w="724"/>
      </w:tblGrid>
      <w:tr w:rsidR="00034EEB" w:rsidRPr="00C86EDA" w14:paraId="5F1099F2" w14:textId="77777777" w:rsidTr="00FA087C">
        <w:trPr>
          <w:trHeight w:val="227"/>
        </w:trPr>
        <w:tc>
          <w:tcPr>
            <w:tcW w:w="2233" w:type="pct"/>
            <w:gridSpan w:val="3"/>
            <w:tcBorders>
              <w:top w:val="single" w:sz="12" w:space="0" w:color="auto"/>
              <w:left w:val="nil"/>
              <w:bottom w:val="single" w:sz="4" w:space="0" w:color="auto"/>
              <w:right w:val="nil"/>
            </w:tcBorders>
            <w:vAlign w:val="center"/>
          </w:tcPr>
          <w:p w14:paraId="5CDCC7E5"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FACTORES DE ANSIEDAD</w:t>
            </w:r>
          </w:p>
        </w:tc>
        <w:tc>
          <w:tcPr>
            <w:tcW w:w="556" w:type="pct"/>
            <w:tcBorders>
              <w:top w:val="single" w:sz="12" w:space="0" w:color="auto"/>
              <w:left w:val="nil"/>
              <w:right w:val="nil"/>
            </w:tcBorders>
            <w:vAlign w:val="center"/>
          </w:tcPr>
          <w:p w14:paraId="1CED7356"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p>
        </w:tc>
        <w:tc>
          <w:tcPr>
            <w:tcW w:w="1036" w:type="pct"/>
            <w:gridSpan w:val="2"/>
            <w:tcBorders>
              <w:top w:val="single" w:sz="12" w:space="0" w:color="auto"/>
              <w:left w:val="nil"/>
              <w:bottom w:val="single" w:sz="4" w:space="0" w:color="auto"/>
              <w:right w:val="nil"/>
            </w:tcBorders>
            <w:vAlign w:val="center"/>
          </w:tcPr>
          <w:p w14:paraId="5C6E673B"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1° SEMESTRE</w:t>
            </w:r>
          </w:p>
        </w:tc>
        <w:tc>
          <w:tcPr>
            <w:tcW w:w="138" w:type="pct"/>
            <w:tcBorders>
              <w:top w:val="single" w:sz="12" w:space="0" w:color="auto"/>
              <w:left w:val="nil"/>
              <w:right w:val="nil"/>
            </w:tcBorders>
          </w:tcPr>
          <w:p w14:paraId="127B3D18"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p>
        </w:tc>
        <w:tc>
          <w:tcPr>
            <w:tcW w:w="1036" w:type="pct"/>
            <w:gridSpan w:val="2"/>
            <w:tcBorders>
              <w:top w:val="single" w:sz="12" w:space="0" w:color="auto"/>
              <w:left w:val="nil"/>
              <w:bottom w:val="single" w:sz="4" w:space="0" w:color="auto"/>
              <w:right w:val="nil"/>
            </w:tcBorders>
            <w:vAlign w:val="center"/>
          </w:tcPr>
          <w:p w14:paraId="1CE38276"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2° SEMESTRE</w:t>
            </w:r>
          </w:p>
        </w:tc>
      </w:tr>
      <w:tr w:rsidR="00034EEB" w:rsidRPr="00C86EDA" w14:paraId="74AFD2BB" w14:textId="77777777" w:rsidTr="00FA087C">
        <w:trPr>
          <w:trHeight w:val="227"/>
        </w:trPr>
        <w:tc>
          <w:tcPr>
            <w:tcW w:w="704" w:type="pct"/>
            <w:tcBorders>
              <w:top w:val="single" w:sz="4" w:space="0" w:color="auto"/>
              <w:left w:val="nil"/>
              <w:bottom w:val="single" w:sz="12" w:space="0" w:color="auto"/>
              <w:right w:val="nil"/>
            </w:tcBorders>
            <w:vAlign w:val="center"/>
            <w:hideMark/>
          </w:tcPr>
          <w:p w14:paraId="1AEEB1C8"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FISIOLÓGICO</w:t>
            </w:r>
          </w:p>
        </w:tc>
        <w:tc>
          <w:tcPr>
            <w:tcW w:w="704" w:type="pct"/>
            <w:tcBorders>
              <w:top w:val="single" w:sz="4" w:space="0" w:color="auto"/>
              <w:left w:val="nil"/>
              <w:bottom w:val="single" w:sz="12" w:space="0" w:color="auto"/>
              <w:right w:val="nil"/>
            </w:tcBorders>
            <w:vAlign w:val="center"/>
            <w:hideMark/>
          </w:tcPr>
          <w:p w14:paraId="52270977"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EVITACIÓN</w:t>
            </w:r>
          </w:p>
        </w:tc>
        <w:tc>
          <w:tcPr>
            <w:tcW w:w="824" w:type="pct"/>
            <w:tcBorders>
              <w:top w:val="single" w:sz="4" w:space="0" w:color="auto"/>
              <w:left w:val="nil"/>
              <w:bottom w:val="single" w:sz="12" w:space="0" w:color="auto"/>
              <w:right w:val="nil"/>
            </w:tcBorders>
            <w:vAlign w:val="center"/>
            <w:hideMark/>
          </w:tcPr>
          <w:p w14:paraId="3EA302D5"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PREOCUPACIÓN</w:t>
            </w:r>
          </w:p>
        </w:tc>
        <w:tc>
          <w:tcPr>
            <w:tcW w:w="556" w:type="pct"/>
            <w:tcBorders>
              <w:left w:val="nil"/>
              <w:bottom w:val="single" w:sz="12" w:space="0" w:color="auto"/>
              <w:right w:val="nil"/>
            </w:tcBorders>
            <w:vAlign w:val="center"/>
            <w:hideMark/>
          </w:tcPr>
          <w:p w14:paraId="0EB06EBD"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NIVEL DE ANSIEDAD GLOBAL</w:t>
            </w:r>
          </w:p>
        </w:tc>
        <w:tc>
          <w:tcPr>
            <w:tcW w:w="677" w:type="pct"/>
            <w:tcBorders>
              <w:top w:val="single" w:sz="4" w:space="0" w:color="auto"/>
              <w:left w:val="nil"/>
              <w:bottom w:val="single" w:sz="12" w:space="0" w:color="auto"/>
              <w:right w:val="nil"/>
            </w:tcBorders>
            <w:vAlign w:val="center"/>
            <w:hideMark/>
          </w:tcPr>
          <w:p w14:paraId="2194F578"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FRECUENCIA</w:t>
            </w:r>
          </w:p>
        </w:tc>
        <w:tc>
          <w:tcPr>
            <w:tcW w:w="359" w:type="pct"/>
            <w:tcBorders>
              <w:top w:val="single" w:sz="4" w:space="0" w:color="auto"/>
              <w:left w:val="nil"/>
              <w:bottom w:val="single" w:sz="12" w:space="0" w:color="auto"/>
              <w:right w:val="nil"/>
            </w:tcBorders>
            <w:vAlign w:val="center"/>
            <w:hideMark/>
          </w:tcPr>
          <w:p w14:paraId="6A99C7E5"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proofErr w:type="spellStart"/>
            <w:r w:rsidRPr="00C86EDA">
              <w:rPr>
                <w:rFonts w:asciiTheme="majorHAnsi" w:eastAsia="Times New Roman" w:hAnsiTheme="majorHAnsi" w:cstheme="majorHAnsi"/>
                <w:b/>
                <w:bCs/>
                <w:color w:val="000000"/>
                <w:sz w:val="20"/>
                <w:szCs w:val="20"/>
                <w:lang w:eastAsia="es-MX"/>
              </w:rPr>
              <w:t>f</w:t>
            </w:r>
            <w:r w:rsidRPr="00C86EDA">
              <w:rPr>
                <w:rFonts w:asciiTheme="majorHAnsi" w:eastAsia="Times New Roman" w:hAnsiTheme="majorHAnsi" w:cstheme="majorHAnsi"/>
                <w:b/>
                <w:bCs/>
                <w:color w:val="000000"/>
                <w:sz w:val="20"/>
                <w:szCs w:val="20"/>
                <w:vertAlign w:val="subscript"/>
                <w:lang w:eastAsia="es-MX"/>
              </w:rPr>
              <w:t>R</w:t>
            </w:r>
            <w:proofErr w:type="spellEnd"/>
            <w:r w:rsidRPr="00C86EDA">
              <w:rPr>
                <w:rFonts w:asciiTheme="majorHAnsi" w:eastAsia="Times New Roman" w:hAnsiTheme="majorHAnsi" w:cstheme="majorHAnsi"/>
                <w:b/>
                <w:bCs/>
                <w:color w:val="000000"/>
                <w:sz w:val="20"/>
                <w:szCs w:val="20"/>
                <w:lang w:eastAsia="es-MX"/>
              </w:rPr>
              <w:t xml:space="preserve"> (%)</w:t>
            </w:r>
          </w:p>
        </w:tc>
        <w:tc>
          <w:tcPr>
            <w:tcW w:w="138" w:type="pct"/>
            <w:tcBorders>
              <w:left w:val="nil"/>
              <w:bottom w:val="single" w:sz="12" w:space="0" w:color="auto"/>
              <w:right w:val="nil"/>
            </w:tcBorders>
          </w:tcPr>
          <w:p w14:paraId="28968B16"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p>
        </w:tc>
        <w:tc>
          <w:tcPr>
            <w:tcW w:w="677" w:type="pct"/>
            <w:tcBorders>
              <w:top w:val="single" w:sz="4" w:space="0" w:color="auto"/>
              <w:left w:val="nil"/>
              <w:bottom w:val="single" w:sz="12" w:space="0" w:color="auto"/>
              <w:right w:val="nil"/>
            </w:tcBorders>
            <w:vAlign w:val="center"/>
            <w:hideMark/>
          </w:tcPr>
          <w:p w14:paraId="32629E3D"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FRECUENCIA</w:t>
            </w:r>
          </w:p>
        </w:tc>
        <w:tc>
          <w:tcPr>
            <w:tcW w:w="359" w:type="pct"/>
            <w:tcBorders>
              <w:top w:val="single" w:sz="4" w:space="0" w:color="auto"/>
              <w:left w:val="nil"/>
              <w:bottom w:val="single" w:sz="12" w:space="0" w:color="auto"/>
              <w:right w:val="nil"/>
            </w:tcBorders>
            <w:vAlign w:val="center"/>
            <w:hideMark/>
          </w:tcPr>
          <w:p w14:paraId="0C5D5C6F"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proofErr w:type="spellStart"/>
            <w:r w:rsidRPr="00C86EDA">
              <w:rPr>
                <w:rFonts w:asciiTheme="majorHAnsi" w:eastAsia="Times New Roman" w:hAnsiTheme="majorHAnsi" w:cstheme="majorHAnsi"/>
                <w:b/>
                <w:bCs/>
                <w:color w:val="000000"/>
                <w:sz w:val="20"/>
                <w:szCs w:val="20"/>
                <w:lang w:eastAsia="es-MX"/>
              </w:rPr>
              <w:t>f</w:t>
            </w:r>
            <w:r w:rsidRPr="00C86EDA">
              <w:rPr>
                <w:rFonts w:asciiTheme="majorHAnsi" w:eastAsia="Times New Roman" w:hAnsiTheme="majorHAnsi" w:cstheme="majorHAnsi"/>
                <w:b/>
                <w:bCs/>
                <w:color w:val="000000"/>
                <w:sz w:val="20"/>
                <w:szCs w:val="20"/>
                <w:vertAlign w:val="subscript"/>
                <w:lang w:eastAsia="es-MX"/>
              </w:rPr>
              <w:t>R</w:t>
            </w:r>
            <w:proofErr w:type="spellEnd"/>
            <w:r w:rsidRPr="00C86EDA">
              <w:rPr>
                <w:rFonts w:asciiTheme="majorHAnsi" w:eastAsia="Times New Roman" w:hAnsiTheme="majorHAnsi" w:cstheme="majorHAnsi"/>
                <w:b/>
                <w:bCs/>
                <w:color w:val="000000"/>
                <w:sz w:val="20"/>
                <w:szCs w:val="20"/>
                <w:lang w:eastAsia="es-MX"/>
              </w:rPr>
              <w:t xml:space="preserve"> (%)</w:t>
            </w:r>
          </w:p>
        </w:tc>
      </w:tr>
      <w:tr w:rsidR="00034EEB" w:rsidRPr="00C86EDA" w14:paraId="45BBF24E" w14:textId="77777777" w:rsidTr="00FA087C">
        <w:trPr>
          <w:trHeight w:val="227"/>
        </w:trPr>
        <w:tc>
          <w:tcPr>
            <w:tcW w:w="704" w:type="pct"/>
            <w:tcBorders>
              <w:top w:val="nil"/>
              <w:left w:val="nil"/>
              <w:bottom w:val="nil"/>
              <w:right w:val="nil"/>
            </w:tcBorders>
            <w:noWrap/>
            <w:vAlign w:val="center"/>
            <w:hideMark/>
          </w:tcPr>
          <w:p w14:paraId="183449E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704" w:type="pct"/>
            <w:tcBorders>
              <w:top w:val="nil"/>
              <w:left w:val="nil"/>
              <w:bottom w:val="nil"/>
              <w:right w:val="nil"/>
            </w:tcBorders>
            <w:noWrap/>
            <w:vAlign w:val="center"/>
            <w:hideMark/>
          </w:tcPr>
          <w:p w14:paraId="29048B1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noWrap/>
            <w:vAlign w:val="center"/>
            <w:hideMark/>
          </w:tcPr>
          <w:p w14:paraId="2E59FA6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556" w:type="pct"/>
            <w:tcBorders>
              <w:top w:val="nil"/>
              <w:left w:val="nil"/>
              <w:bottom w:val="nil"/>
              <w:right w:val="nil"/>
            </w:tcBorders>
            <w:noWrap/>
            <w:vAlign w:val="center"/>
            <w:hideMark/>
          </w:tcPr>
          <w:p w14:paraId="4CE9237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w:t>
            </w:r>
          </w:p>
        </w:tc>
        <w:tc>
          <w:tcPr>
            <w:tcW w:w="677" w:type="pct"/>
            <w:tcBorders>
              <w:top w:val="nil"/>
              <w:left w:val="nil"/>
              <w:bottom w:val="nil"/>
              <w:right w:val="nil"/>
            </w:tcBorders>
            <w:noWrap/>
            <w:vAlign w:val="center"/>
            <w:hideMark/>
          </w:tcPr>
          <w:p w14:paraId="2701FCA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224</w:t>
            </w:r>
          </w:p>
        </w:tc>
        <w:tc>
          <w:tcPr>
            <w:tcW w:w="359" w:type="pct"/>
            <w:tcBorders>
              <w:top w:val="nil"/>
              <w:left w:val="nil"/>
              <w:bottom w:val="nil"/>
              <w:right w:val="nil"/>
            </w:tcBorders>
            <w:noWrap/>
            <w:vAlign w:val="center"/>
            <w:hideMark/>
          </w:tcPr>
          <w:p w14:paraId="1246282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52.6%</w:t>
            </w:r>
          </w:p>
        </w:tc>
        <w:tc>
          <w:tcPr>
            <w:tcW w:w="138" w:type="pct"/>
            <w:tcBorders>
              <w:top w:val="nil"/>
              <w:left w:val="nil"/>
              <w:bottom w:val="nil"/>
              <w:right w:val="nil"/>
            </w:tcBorders>
          </w:tcPr>
          <w:p w14:paraId="287FFED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51607CA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165</w:t>
            </w:r>
          </w:p>
        </w:tc>
        <w:tc>
          <w:tcPr>
            <w:tcW w:w="359" w:type="pct"/>
            <w:tcBorders>
              <w:top w:val="nil"/>
              <w:left w:val="nil"/>
              <w:bottom w:val="nil"/>
              <w:right w:val="nil"/>
            </w:tcBorders>
            <w:noWrap/>
            <w:vAlign w:val="center"/>
            <w:hideMark/>
          </w:tcPr>
          <w:p w14:paraId="7D9B313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60.4%</w:t>
            </w:r>
          </w:p>
        </w:tc>
      </w:tr>
      <w:tr w:rsidR="00034EEB" w:rsidRPr="00C86EDA" w14:paraId="7F8DDC8C" w14:textId="77777777" w:rsidTr="00FA087C">
        <w:trPr>
          <w:trHeight w:val="227"/>
        </w:trPr>
        <w:tc>
          <w:tcPr>
            <w:tcW w:w="704" w:type="pct"/>
            <w:tcBorders>
              <w:top w:val="nil"/>
              <w:left w:val="nil"/>
              <w:bottom w:val="nil"/>
              <w:right w:val="nil"/>
            </w:tcBorders>
            <w:noWrap/>
            <w:vAlign w:val="center"/>
            <w:hideMark/>
          </w:tcPr>
          <w:p w14:paraId="564B86C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704" w:type="pct"/>
            <w:tcBorders>
              <w:top w:val="nil"/>
              <w:left w:val="nil"/>
              <w:bottom w:val="nil"/>
              <w:right w:val="nil"/>
            </w:tcBorders>
            <w:noWrap/>
            <w:vAlign w:val="center"/>
            <w:hideMark/>
          </w:tcPr>
          <w:p w14:paraId="2A7D93F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noWrap/>
            <w:vAlign w:val="center"/>
            <w:hideMark/>
          </w:tcPr>
          <w:p w14:paraId="2EA1921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556" w:type="pct"/>
            <w:tcBorders>
              <w:top w:val="nil"/>
              <w:left w:val="nil"/>
              <w:bottom w:val="nil"/>
              <w:right w:val="nil"/>
            </w:tcBorders>
            <w:noWrap/>
            <w:vAlign w:val="center"/>
            <w:hideMark/>
          </w:tcPr>
          <w:p w14:paraId="076E5AC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w:t>
            </w:r>
          </w:p>
        </w:tc>
        <w:tc>
          <w:tcPr>
            <w:tcW w:w="677" w:type="pct"/>
            <w:tcBorders>
              <w:top w:val="nil"/>
              <w:left w:val="nil"/>
              <w:bottom w:val="nil"/>
              <w:right w:val="nil"/>
            </w:tcBorders>
            <w:noWrap/>
            <w:vAlign w:val="center"/>
            <w:hideMark/>
          </w:tcPr>
          <w:p w14:paraId="2F9CE5F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85</w:t>
            </w:r>
          </w:p>
        </w:tc>
        <w:tc>
          <w:tcPr>
            <w:tcW w:w="359" w:type="pct"/>
            <w:tcBorders>
              <w:top w:val="nil"/>
              <w:left w:val="nil"/>
              <w:bottom w:val="nil"/>
              <w:right w:val="nil"/>
            </w:tcBorders>
            <w:noWrap/>
            <w:vAlign w:val="center"/>
            <w:hideMark/>
          </w:tcPr>
          <w:p w14:paraId="312E5F7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20.0%</w:t>
            </w:r>
          </w:p>
        </w:tc>
        <w:tc>
          <w:tcPr>
            <w:tcW w:w="138" w:type="pct"/>
            <w:tcBorders>
              <w:top w:val="nil"/>
              <w:left w:val="nil"/>
              <w:bottom w:val="nil"/>
              <w:right w:val="nil"/>
            </w:tcBorders>
          </w:tcPr>
          <w:p w14:paraId="5B1116F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39AA1D0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59</w:t>
            </w:r>
          </w:p>
        </w:tc>
        <w:tc>
          <w:tcPr>
            <w:tcW w:w="359" w:type="pct"/>
            <w:tcBorders>
              <w:top w:val="nil"/>
              <w:left w:val="nil"/>
              <w:bottom w:val="nil"/>
              <w:right w:val="nil"/>
            </w:tcBorders>
            <w:noWrap/>
            <w:vAlign w:val="center"/>
            <w:hideMark/>
          </w:tcPr>
          <w:p w14:paraId="4E286A9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21.6%</w:t>
            </w:r>
          </w:p>
        </w:tc>
      </w:tr>
      <w:tr w:rsidR="00034EEB" w:rsidRPr="00C86EDA" w14:paraId="28C7B06D" w14:textId="77777777" w:rsidTr="00FA087C">
        <w:trPr>
          <w:trHeight w:val="227"/>
        </w:trPr>
        <w:tc>
          <w:tcPr>
            <w:tcW w:w="704" w:type="pct"/>
            <w:tcBorders>
              <w:top w:val="nil"/>
              <w:left w:val="nil"/>
              <w:bottom w:val="nil"/>
              <w:right w:val="nil"/>
            </w:tcBorders>
            <w:noWrap/>
            <w:vAlign w:val="center"/>
            <w:hideMark/>
          </w:tcPr>
          <w:p w14:paraId="0052E1D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nil"/>
              <w:right w:val="nil"/>
            </w:tcBorders>
            <w:noWrap/>
            <w:vAlign w:val="center"/>
            <w:hideMark/>
          </w:tcPr>
          <w:p w14:paraId="06ADEB9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noWrap/>
            <w:vAlign w:val="center"/>
            <w:hideMark/>
          </w:tcPr>
          <w:p w14:paraId="5934B3F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556" w:type="pct"/>
            <w:tcBorders>
              <w:top w:val="nil"/>
              <w:left w:val="nil"/>
              <w:bottom w:val="nil"/>
              <w:right w:val="nil"/>
            </w:tcBorders>
            <w:noWrap/>
            <w:vAlign w:val="center"/>
            <w:hideMark/>
          </w:tcPr>
          <w:p w14:paraId="55E8C8F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677" w:type="pct"/>
            <w:tcBorders>
              <w:top w:val="nil"/>
              <w:left w:val="nil"/>
              <w:bottom w:val="nil"/>
              <w:right w:val="nil"/>
            </w:tcBorders>
            <w:noWrap/>
            <w:vAlign w:val="center"/>
            <w:hideMark/>
          </w:tcPr>
          <w:p w14:paraId="5E735A4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32</w:t>
            </w:r>
          </w:p>
        </w:tc>
        <w:tc>
          <w:tcPr>
            <w:tcW w:w="359" w:type="pct"/>
            <w:tcBorders>
              <w:top w:val="nil"/>
              <w:left w:val="nil"/>
              <w:bottom w:val="nil"/>
              <w:right w:val="nil"/>
            </w:tcBorders>
            <w:noWrap/>
            <w:vAlign w:val="center"/>
            <w:hideMark/>
          </w:tcPr>
          <w:p w14:paraId="0A5BB48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7.5%</w:t>
            </w:r>
          </w:p>
        </w:tc>
        <w:tc>
          <w:tcPr>
            <w:tcW w:w="138" w:type="pct"/>
            <w:tcBorders>
              <w:top w:val="nil"/>
              <w:left w:val="nil"/>
              <w:bottom w:val="nil"/>
              <w:right w:val="nil"/>
            </w:tcBorders>
          </w:tcPr>
          <w:p w14:paraId="7B2A861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2967571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23</w:t>
            </w:r>
          </w:p>
        </w:tc>
        <w:tc>
          <w:tcPr>
            <w:tcW w:w="359" w:type="pct"/>
            <w:tcBorders>
              <w:top w:val="nil"/>
              <w:left w:val="nil"/>
              <w:bottom w:val="nil"/>
              <w:right w:val="nil"/>
            </w:tcBorders>
            <w:noWrap/>
            <w:vAlign w:val="center"/>
            <w:hideMark/>
          </w:tcPr>
          <w:p w14:paraId="7C85818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8.4%</w:t>
            </w:r>
          </w:p>
        </w:tc>
      </w:tr>
      <w:tr w:rsidR="00034EEB" w:rsidRPr="00C86EDA" w14:paraId="48CEC62D" w14:textId="77777777" w:rsidTr="00FA087C">
        <w:trPr>
          <w:trHeight w:val="227"/>
        </w:trPr>
        <w:tc>
          <w:tcPr>
            <w:tcW w:w="704" w:type="pct"/>
            <w:tcBorders>
              <w:top w:val="nil"/>
              <w:left w:val="nil"/>
              <w:bottom w:val="nil"/>
              <w:right w:val="nil"/>
            </w:tcBorders>
            <w:noWrap/>
            <w:vAlign w:val="center"/>
            <w:hideMark/>
          </w:tcPr>
          <w:p w14:paraId="0FC8140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nil"/>
              <w:right w:val="nil"/>
            </w:tcBorders>
            <w:noWrap/>
            <w:vAlign w:val="center"/>
            <w:hideMark/>
          </w:tcPr>
          <w:p w14:paraId="09B5F10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noWrap/>
            <w:vAlign w:val="center"/>
            <w:hideMark/>
          </w:tcPr>
          <w:p w14:paraId="23EC0C6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noWrap/>
            <w:vAlign w:val="center"/>
            <w:hideMark/>
          </w:tcPr>
          <w:p w14:paraId="31A5B9F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677" w:type="pct"/>
            <w:tcBorders>
              <w:top w:val="nil"/>
              <w:left w:val="nil"/>
              <w:bottom w:val="nil"/>
              <w:right w:val="nil"/>
            </w:tcBorders>
            <w:noWrap/>
            <w:vAlign w:val="center"/>
            <w:hideMark/>
          </w:tcPr>
          <w:p w14:paraId="3DDC290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16</w:t>
            </w:r>
          </w:p>
        </w:tc>
        <w:tc>
          <w:tcPr>
            <w:tcW w:w="359" w:type="pct"/>
            <w:tcBorders>
              <w:top w:val="nil"/>
              <w:left w:val="nil"/>
              <w:bottom w:val="nil"/>
              <w:right w:val="nil"/>
            </w:tcBorders>
            <w:noWrap/>
            <w:vAlign w:val="center"/>
            <w:hideMark/>
          </w:tcPr>
          <w:p w14:paraId="421F95E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3.8%</w:t>
            </w:r>
          </w:p>
        </w:tc>
        <w:tc>
          <w:tcPr>
            <w:tcW w:w="138" w:type="pct"/>
            <w:tcBorders>
              <w:top w:val="nil"/>
              <w:left w:val="nil"/>
              <w:bottom w:val="nil"/>
              <w:right w:val="nil"/>
            </w:tcBorders>
          </w:tcPr>
          <w:p w14:paraId="50C702B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7DBFA54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6</w:t>
            </w:r>
          </w:p>
        </w:tc>
        <w:tc>
          <w:tcPr>
            <w:tcW w:w="359" w:type="pct"/>
            <w:tcBorders>
              <w:top w:val="nil"/>
              <w:left w:val="nil"/>
              <w:bottom w:val="nil"/>
              <w:right w:val="nil"/>
            </w:tcBorders>
            <w:noWrap/>
            <w:vAlign w:val="center"/>
            <w:hideMark/>
          </w:tcPr>
          <w:p w14:paraId="3C34989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2.2%</w:t>
            </w:r>
          </w:p>
        </w:tc>
      </w:tr>
      <w:tr w:rsidR="00034EEB" w:rsidRPr="00C86EDA" w14:paraId="14DFF172" w14:textId="77777777" w:rsidTr="00FA087C">
        <w:trPr>
          <w:trHeight w:val="227"/>
        </w:trPr>
        <w:tc>
          <w:tcPr>
            <w:tcW w:w="704" w:type="pct"/>
            <w:tcBorders>
              <w:top w:val="nil"/>
              <w:left w:val="nil"/>
              <w:bottom w:val="nil"/>
              <w:right w:val="nil"/>
            </w:tcBorders>
            <w:noWrap/>
            <w:vAlign w:val="center"/>
            <w:hideMark/>
          </w:tcPr>
          <w:p w14:paraId="3F9586B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704" w:type="pct"/>
            <w:tcBorders>
              <w:top w:val="nil"/>
              <w:left w:val="nil"/>
              <w:bottom w:val="nil"/>
              <w:right w:val="nil"/>
            </w:tcBorders>
            <w:noWrap/>
            <w:vAlign w:val="center"/>
            <w:hideMark/>
          </w:tcPr>
          <w:p w14:paraId="665DD03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noWrap/>
            <w:vAlign w:val="center"/>
            <w:hideMark/>
          </w:tcPr>
          <w:p w14:paraId="38093DC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noWrap/>
            <w:vAlign w:val="center"/>
            <w:hideMark/>
          </w:tcPr>
          <w:p w14:paraId="55948BF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4</w:t>
            </w:r>
          </w:p>
        </w:tc>
        <w:tc>
          <w:tcPr>
            <w:tcW w:w="677" w:type="pct"/>
            <w:tcBorders>
              <w:top w:val="nil"/>
              <w:left w:val="nil"/>
              <w:bottom w:val="nil"/>
              <w:right w:val="nil"/>
            </w:tcBorders>
            <w:noWrap/>
            <w:vAlign w:val="center"/>
            <w:hideMark/>
          </w:tcPr>
          <w:p w14:paraId="3ECA0F7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11</w:t>
            </w:r>
          </w:p>
        </w:tc>
        <w:tc>
          <w:tcPr>
            <w:tcW w:w="359" w:type="pct"/>
            <w:tcBorders>
              <w:top w:val="nil"/>
              <w:left w:val="nil"/>
              <w:bottom w:val="nil"/>
              <w:right w:val="nil"/>
            </w:tcBorders>
            <w:noWrap/>
            <w:vAlign w:val="center"/>
            <w:hideMark/>
          </w:tcPr>
          <w:p w14:paraId="68C043C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2.6%</w:t>
            </w:r>
          </w:p>
        </w:tc>
        <w:tc>
          <w:tcPr>
            <w:tcW w:w="138" w:type="pct"/>
            <w:tcBorders>
              <w:top w:val="nil"/>
              <w:left w:val="nil"/>
              <w:bottom w:val="nil"/>
              <w:right w:val="nil"/>
            </w:tcBorders>
          </w:tcPr>
          <w:p w14:paraId="32F5640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0B0AB9C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359" w:type="pct"/>
            <w:tcBorders>
              <w:top w:val="nil"/>
              <w:left w:val="nil"/>
              <w:bottom w:val="nil"/>
              <w:right w:val="nil"/>
            </w:tcBorders>
            <w:noWrap/>
            <w:vAlign w:val="center"/>
            <w:hideMark/>
          </w:tcPr>
          <w:p w14:paraId="3586F13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1.1%</w:t>
            </w:r>
          </w:p>
        </w:tc>
      </w:tr>
      <w:tr w:rsidR="00034EEB" w:rsidRPr="00C86EDA" w14:paraId="58CB8F30" w14:textId="77777777" w:rsidTr="00FA087C">
        <w:trPr>
          <w:trHeight w:val="227"/>
        </w:trPr>
        <w:tc>
          <w:tcPr>
            <w:tcW w:w="704" w:type="pct"/>
            <w:tcBorders>
              <w:top w:val="nil"/>
              <w:left w:val="nil"/>
              <w:bottom w:val="nil"/>
              <w:right w:val="nil"/>
            </w:tcBorders>
            <w:noWrap/>
            <w:vAlign w:val="center"/>
            <w:hideMark/>
          </w:tcPr>
          <w:p w14:paraId="6E3E539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704" w:type="pct"/>
            <w:tcBorders>
              <w:top w:val="nil"/>
              <w:left w:val="nil"/>
              <w:bottom w:val="nil"/>
              <w:right w:val="nil"/>
            </w:tcBorders>
            <w:noWrap/>
            <w:vAlign w:val="center"/>
            <w:hideMark/>
          </w:tcPr>
          <w:p w14:paraId="6818C18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noWrap/>
            <w:vAlign w:val="center"/>
            <w:hideMark/>
          </w:tcPr>
          <w:p w14:paraId="18C47E5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556" w:type="pct"/>
            <w:tcBorders>
              <w:top w:val="nil"/>
              <w:left w:val="nil"/>
              <w:bottom w:val="nil"/>
              <w:right w:val="nil"/>
            </w:tcBorders>
            <w:noWrap/>
            <w:vAlign w:val="center"/>
            <w:hideMark/>
          </w:tcPr>
          <w:p w14:paraId="453032A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677" w:type="pct"/>
            <w:tcBorders>
              <w:top w:val="nil"/>
              <w:left w:val="nil"/>
              <w:bottom w:val="nil"/>
              <w:right w:val="nil"/>
            </w:tcBorders>
            <w:noWrap/>
            <w:vAlign w:val="center"/>
            <w:hideMark/>
          </w:tcPr>
          <w:p w14:paraId="65137F4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10</w:t>
            </w:r>
          </w:p>
        </w:tc>
        <w:tc>
          <w:tcPr>
            <w:tcW w:w="359" w:type="pct"/>
            <w:tcBorders>
              <w:top w:val="nil"/>
              <w:left w:val="nil"/>
              <w:bottom w:val="nil"/>
              <w:right w:val="nil"/>
            </w:tcBorders>
            <w:noWrap/>
            <w:vAlign w:val="center"/>
            <w:hideMark/>
          </w:tcPr>
          <w:p w14:paraId="38071F3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2.3%</w:t>
            </w:r>
          </w:p>
        </w:tc>
        <w:tc>
          <w:tcPr>
            <w:tcW w:w="138" w:type="pct"/>
            <w:tcBorders>
              <w:top w:val="nil"/>
              <w:left w:val="nil"/>
              <w:bottom w:val="nil"/>
              <w:right w:val="nil"/>
            </w:tcBorders>
          </w:tcPr>
          <w:p w14:paraId="04443E1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490EE76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359" w:type="pct"/>
            <w:tcBorders>
              <w:top w:val="nil"/>
              <w:left w:val="nil"/>
              <w:bottom w:val="nil"/>
              <w:right w:val="nil"/>
            </w:tcBorders>
            <w:noWrap/>
            <w:vAlign w:val="center"/>
            <w:hideMark/>
          </w:tcPr>
          <w:p w14:paraId="5BD0153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0.7%</w:t>
            </w:r>
          </w:p>
        </w:tc>
      </w:tr>
      <w:tr w:rsidR="00034EEB" w:rsidRPr="00C86EDA" w14:paraId="643267EA" w14:textId="77777777" w:rsidTr="00FA087C">
        <w:trPr>
          <w:trHeight w:val="227"/>
        </w:trPr>
        <w:tc>
          <w:tcPr>
            <w:tcW w:w="704" w:type="pct"/>
            <w:tcBorders>
              <w:top w:val="nil"/>
              <w:left w:val="nil"/>
              <w:bottom w:val="nil"/>
              <w:right w:val="nil"/>
            </w:tcBorders>
            <w:noWrap/>
            <w:vAlign w:val="center"/>
            <w:hideMark/>
          </w:tcPr>
          <w:p w14:paraId="14410FF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704" w:type="pct"/>
            <w:tcBorders>
              <w:top w:val="nil"/>
              <w:left w:val="nil"/>
              <w:bottom w:val="nil"/>
              <w:right w:val="nil"/>
            </w:tcBorders>
            <w:noWrap/>
            <w:vAlign w:val="center"/>
            <w:hideMark/>
          </w:tcPr>
          <w:p w14:paraId="1F0E1CF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824" w:type="pct"/>
            <w:tcBorders>
              <w:top w:val="nil"/>
              <w:left w:val="nil"/>
              <w:bottom w:val="nil"/>
              <w:right w:val="nil"/>
            </w:tcBorders>
            <w:noWrap/>
            <w:vAlign w:val="center"/>
            <w:hideMark/>
          </w:tcPr>
          <w:p w14:paraId="7B793BD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noWrap/>
            <w:vAlign w:val="center"/>
            <w:hideMark/>
          </w:tcPr>
          <w:p w14:paraId="74F89AD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5</w:t>
            </w:r>
          </w:p>
        </w:tc>
        <w:tc>
          <w:tcPr>
            <w:tcW w:w="677" w:type="pct"/>
            <w:tcBorders>
              <w:top w:val="nil"/>
              <w:left w:val="nil"/>
              <w:bottom w:val="nil"/>
              <w:right w:val="nil"/>
            </w:tcBorders>
            <w:noWrap/>
            <w:vAlign w:val="center"/>
            <w:hideMark/>
          </w:tcPr>
          <w:p w14:paraId="005902C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10</w:t>
            </w:r>
          </w:p>
        </w:tc>
        <w:tc>
          <w:tcPr>
            <w:tcW w:w="359" w:type="pct"/>
            <w:tcBorders>
              <w:top w:val="nil"/>
              <w:left w:val="nil"/>
              <w:bottom w:val="nil"/>
              <w:right w:val="nil"/>
            </w:tcBorders>
            <w:noWrap/>
            <w:vAlign w:val="center"/>
            <w:hideMark/>
          </w:tcPr>
          <w:p w14:paraId="71CB2EB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2.3%</w:t>
            </w:r>
          </w:p>
        </w:tc>
        <w:tc>
          <w:tcPr>
            <w:tcW w:w="138" w:type="pct"/>
            <w:tcBorders>
              <w:top w:val="nil"/>
              <w:left w:val="nil"/>
              <w:bottom w:val="nil"/>
              <w:right w:val="nil"/>
            </w:tcBorders>
          </w:tcPr>
          <w:p w14:paraId="1ACC918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34F6D45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359" w:type="pct"/>
            <w:tcBorders>
              <w:top w:val="nil"/>
              <w:left w:val="nil"/>
              <w:bottom w:val="nil"/>
              <w:right w:val="nil"/>
            </w:tcBorders>
            <w:noWrap/>
            <w:vAlign w:val="center"/>
            <w:hideMark/>
          </w:tcPr>
          <w:p w14:paraId="7C3DA6B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0.7%</w:t>
            </w:r>
          </w:p>
        </w:tc>
      </w:tr>
      <w:tr w:rsidR="00034EEB" w:rsidRPr="00C86EDA" w14:paraId="6CA87BF2" w14:textId="77777777" w:rsidTr="00FA087C">
        <w:trPr>
          <w:trHeight w:val="227"/>
        </w:trPr>
        <w:tc>
          <w:tcPr>
            <w:tcW w:w="704" w:type="pct"/>
            <w:tcBorders>
              <w:top w:val="nil"/>
              <w:left w:val="nil"/>
              <w:bottom w:val="nil"/>
              <w:right w:val="nil"/>
            </w:tcBorders>
            <w:noWrap/>
            <w:vAlign w:val="center"/>
            <w:hideMark/>
          </w:tcPr>
          <w:p w14:paraId="7CC9725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704" w:type="pct"/>
            <w:tcBorders>
              <w:top w:val="nil"/>
              <w:left w:val="nil"/>
              <w:bottom w:val="nil"/>
              <w:right w:val="nil"/>
            </w:tcBorders>
            <w:noWrap/>
            <w:vAlign w:val="center"/>
            <w:hideMark/>
          </w:tcPr>
          <w:p w14:paraId="5733865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noWrap/>
            <w:vAlign w:val="center"/>
            <w:hideMark/>
          </w:tcPr>
          <w:p w14:paraId="6EB657D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noWrap/>
            <w:vAlign w:val="center"/>
            <w:hideMark/>
          </w:tcPr>
          <w:p w14:paraId="64553DA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677" w:type="pct"/>
            <w:tcBorders>
              <w:top w:val="nil"/>
              <w:left w:val="nil"/>
              <w:bottom w:val="nil"/>
              <w:right w:val="nil"/>
            </w:tcBorders>
            <w:noWrap/>
            <w:vAlign w:val="center"/>
            <w:hideMark/>
          </w:tcPr>
          <w:p w14:paraId="352A380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8</w:t>
            </w:r>
          </w:p>
        </w:tc>
        <w:tc>
          <w:tcPr>
            <w:tcW w:w="359" w:type="pct"/>
            <w:tcBorders>
              <w:top w:val="nil"/>
              <w:left w:val="nil"/>
              <w:bottom w:val="nil"/>
              <w:right w:val="nil"/>
            </w:tcBorders>
            <w:noWrap/>
            <w:vAlign w:val="center"/>
            <w:hideMark/>
          </w:tcPr>
          <w:p w14:paraId="2FB37B7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1.9%</w:t>
            </w:r>
          </w:p>
        </w:tc>
        <w:tc>
          <w:tcPr>
            <w:tcW w:w="138" w:type="pct"/>
            <w:tcBorders>
              <w:top w:val="nil"/>
              <w:left w:val="nil"/>
              <w:bottom w:val="nil"/>
              <w:right w:val="nil"/>
            </w:tcBorders>
          </w:tcPr>
          <w:p w14:paraId="139577A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681C043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4</w:t>
            </w:r>
          </w:p>
        </w:tc>
        <w:tc>
          <w:tcPr>
            <w:tcW w:w="359" w:type="pct"/>
            <w:tcBorders>
              <w:top w:val="nil"/>
              <w:left w:val="nil"/>
              <w:bottom w:val="nil"/>
              <w:right w:val="nil"/>
            </w:tcBorders>
            <w:noWrap/>
            <w:vAlign w:val="center"/>
            <w:hideMark/>
          </w:tcPr>
          <w:p w14:paraId="15DA241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1.5%</w:t>
            </w:r>
          </w:p>
        </w:tc>
      </w:tr>
      <w:tr w:rsidR="00034EEB" w:rsidRPr="00C86EDA" w14:paraId="36C9C458" w14:textId="77777777" w:rsidTr="00FA087C">
        <w:trPr>
          <w:trHeight w:val="227"/>
        </w:trPr>
        <w:tc>
          <w:tcPr>
            <w:tcW w:w="704" w:type="pct"/>
            <w:tcBorders>
              <w:top w:val="nil"/>
              <w:left w:val="nil"/>
              <w:bottom w:val="nil"/>
              <w:right w:val="nil"/>
            </w:tcBorders>
            <w:noWrap/>
            <w:vAlign w:val="center"/>
            <w:hideMark/>
          </w:tcPr>
          <w:p w14:paraId="16A7E61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nil"/>
              <w:right w:val="nil"/>
            </w:tcBorders>
            <w:noWrap/>
            <w:vAlign w:val="center"/>
            <w:hideMark/>
          </w:tcPr>
          <w:p w14:paraId="42326E2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824" w:type="pct"/>
            <w:tcBorders>
              <w:top w:val="nil"/>
              <w:left w:val="nil"/>
              <w:bottom w:val="nil"/>
              <w:right w:val="nil"/>
            </w:tcBorders>
            <w:noWrap/>
            <w:vAlign w:val="center"/>
            <w:hideMark/>
          </w:tcPr>
          <w:p w14:paraId="23B87C5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noWrap/>
            <w:vAlign w:val="center"/>
            <w:hideMark/>
          </w:tcPr>
          <w:p w14:paraId="778651C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4</w:t>
            </w:r>
          </w:p>
        </w:tc>
        <w:tc>
          <w:tcPr>
            <w:tcW w:w="677" w:type="pct"/>
            <w:tcBorders>
              <w:top w:val="nil"/>
              <w:left w:val="nil"/>
              <w:bottom w:val="nil"/>
              <w:right w:val="nil"/>
            </w:tcBorders>
            <w:noWrap/>
            <w:vAlign w:val="center"/>
            <w:hideMark/>
          </w:tcPr>
          <w:p w14:paraId="76FCCA2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6</w:t>
            </w:r>
          </w:p>
        </w:tc>
        <w:tc>
          <w:tcPr>
            <w:tcW w:w="359" w:type="pct"/>
            <w:tcBorders>
              <w:top w:val="nil"/>
              <w:left w:val="nil"/>
              <w:bottom w:val="nil"/>
              <w:right w:val="nil"/>
            </w:tcBorders>
            <w:noWrap/>
            <w:vAlign w:val="center"/>
            <w:hideMark/>
          </w:tcPr>
          <w:p w14:paraId="5AE56D9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1.4%</w:t>
            </w:r>
          </w:p>
        </w:tc>
        <w:tc>
          <w:tcPr>
            <w:tcW w:w="138" w:type="pct"/>
            <w:tcBorders>
              <w:top w:val="nil"/>
              <w:left w:val="nil"/>
              <w:bottom w:val="nil"/>
              <w:right w:val="nil"/>
            </w:tcBorders>
          </w:tcPr>
          <w:p w14:paraId="2EA98E0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39BA4C0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c>
          <w:tcPr>
            <w:tcW w:w="359" w:type="pct"/>
            <w:tcBorders>
              <w:top w:val="nil"/>
              <w:left w:val="nil"/>
              <w:bottom w:val="nil"/>
              <w:right w:val="nil"/>
            </w:tcBorders>
            <w:noWrap/>
            <w:vAlign w:val="center"/>
            <w:hideMark/>
          </w:tcPr>
          <w:p w14:paraId="3B0480B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r>
      <w:tr w:rsidR="00034EEB" w:rsidRPr="00C86EDA" w14:paraId="13E8998B" w14:textId="77777777" w:rsidTr="00FA087C">
        <w:trPr>
          <w:trHeight w:val="227"/>
        </w:trPr>
        <w:tc>
          <w:tcPr>
            <w:tcW w:w="704" w:type="pct"/>
            <w:tcBorders>
              <w:top w:val="nil"/>
              <w:left w:val="nil"/>
              <w:bottom w:val="nil"/>
              <w:right w:val="nil"/>
            </w:tcBorders>
            <w:noWrap/>
            <w:vAlign w:val="center"/>
            <w:hideMark/>
          </w:tcPr>
          <w:p w14:paraId="757E26B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704" w:type="pct"/>
            <w:tcBorders>
              <w:top w:val="nil"/>
              <w:left w:val="nil"/>
              <w:bottom w:val="nil"/>
              <w:right w:val="nil"/>
            </w:tcBorders>
            <w:noWrap/>
            <w:vAlign w:val="center"/>
            <w:hideMark/>
          </w:tcPr>
          <w:p w14:paraId="03A0A7B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824" w:type="pct"/>
            <w:tcBorders>
              <w:top w:val="nil"/>
              <w:left w:val="nil"/>
              <w:bottom w:val="nil"/>
              <w:right w:val="nil"/>
            </w:tcBorders>
            <w:noWrap/>
            <w:vAlign w:val="center"/>
            <w:hideMark/>
          </w:tcPr>
          <w:p w14:paraId="454E813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noWrap/>
            <w:vAlign w:val="center"/>
            <w:hideMark/>
          </w:tcPr>
          <w:p w14:paraId="6FC069E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6</w:t>
            </w:r>
          </w:p>
        </w:tc>
        <w:tc>
          <w:tcPr>
            <w:tcW w:w="677" w:type="pct"/>
            <w:tcBorders>
              <w:top w:val="nil"/>
              <w:left w:val="nil"/>
              <w:bottom w:val="nil"/>
              <w:right w:val="nil"/>
            </w:tcBorders>
            <w:noWrap/>
            <w:vAlign w:val="center"/>
            <w:hideMark/>
          </w:tcPr>
          <w:p w14:paraId="43ACC3D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6</w:t>
            </w:r>
          </w:p>
        </w:tc>
        <w:tc>
          <w:tcPr>
            <w:tcW w:w="359" w:type="pct"/>
            <w:tcBorders>
              <w:top w:val="nil"/>
              <w:left w:val="nil"/>
              <w:bottom w:val="nil"/>
              <w:right w:val="nil"/>
            </w:tcBorders>
            <w:noWrap/>
            <w:vAlign w:val="center"/>
            <w:hideMark/>
          </w:tcPr>
          <w:p w14:paraId="55E152F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1.4%</w:t>
            </w:r>
          </w:p>
        </w:tc>
        <w:tc>
          <w:tcPr>
            <w:tcW w:w="138" w:type="pct"/>
            <w:tcBorders>
              <w:top w:val="nil"/>
              <w:left w:val="nil"/>
              <w:bottom w:val="nil"/>
              <w:right w:val="nil"/>
            </w:tcBorders>
          </w:tcPr>
          <w:p w14:paraId="4037A07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311503C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c>
          <w:tcPr>
            <w:tcW w:w="359" w:type="pct"/>
            <w:tcBorders>
              <w:top w:val="nil"/>
              <w:left w:val="nil"/>
              <w:bottom w:val="nil"/>
              <w:right w:val="nil"/>
            </w:tcBorders>
            <w:noWrap/>
            <w:vAlign w:val="center"/>
            <w:hideMark/>
          </w:tcPr>
          <w:p w14:paraId="0E3EA26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r>
      <w:tr w:rsidR="00034EEB" w:rsidRPr="00C86EDA" w14:paraId="77B72E21" w14:textId="77777777" w:rsidTr="00FA087C">
        <w:trPr>
          <w:trHeight w:val="227"/>
        </w:trPr>
        <w:tc>
          <w:tcPr>
            <w:tcW w:w="704" w:type="pct"/>
            <w:tcBorders>
              <w:top w:val="nil"/>
              <w:left w:val="nil"/>
              <w:bottom w:val="nil"/>
              <w:right w:val="nil"/>
            </w:tcBorders>
            <w:noWrap/>
            <w:vAlign w:val="center"/>
            <w:hideMark/>
          </w:tcPr>
          <w:p w14:paraId="5D571A5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nil"/>
              <w:right w:val="nil"/>
            </w:tcBorders>
            <w:noWrap/>
            <w:vAlign w:val="center"/>
            <w:hideMark/>
          </w:tcPr>
          <w:p w14:paraId="719AB2A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noWrap/>
            <w:vAlign w:val="center"/>
            <w:hideMark/>
          </w:tcPr>
          <w:p w14:paraId="56C4A73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556" w:type="pct"/>
            <w:tcBorders>
              <w:top w:val="nil"/>
              <w:left w:val="nil"/>
              <w:bottom w:val="nil"/>
              <w:right w:val="nil"/>
            </w:tcBorders>
            <w:noWrap/>
            <w:vAlign w:val="center"/>
            <w:hideMark/>
          </w:tcPr>
          <w:p w14:paraId="514F5D8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w:t>
            </w:r>
          </w:p>
        </w:tc>
        <w:tc>
          <w:tcPr>
            <w:tcW w:w="677" w:type="pct"/>
            <w:tcBorders>
              <w:top w:val="nil"/>
              <w:left w:val="nil"/>
              <w:bottom w:val="nil"/>
              <w:right w:val="nil"/>
            </w:tcBorders>
            <w:noWrap/>
            <w:vAlign w:val="center"/>
            <w:hideMark/>
          </w:tcPr>
          <w:p w14:paraId="6CC372C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4</w:t>
            </w:r>
          </w:p>
        </w:tc>
        <w:tc>
          <w:tcPr>
            <w:tcW w:w="359" w:type="pct"/>
            <w:tcBorders>
              <w:top w:val="nil"/>
              <w:left w:val="nil"/>
              <w:bottom w:val="nil"/>
              <w:right w:val="nil"/>
            </w:tcBorders>
            <w:noWrap/>
            <w:vAlign w:val="center"/>
            <w:hideMark/>
          </w:tcPr>
          <w:p w14:paraId="2118519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0.9%</w:t>
            </w:r>
          </w:p>
        </w:tc>
        <w:tc>
          <w:tcPr>
            <w:tcW w:w="138" w:type="pct"/>
            <w:tcBorders>
              <w:top w:val="nil"/>
              <w:left w:val="nil"/>
              <w:bottom w:val="nil"/>
              <w:right w:val="nil"/>
            </w:tcBorders>
          </w:tcPr>
          <w:p w14:paraId="3CFE87A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0BA64F2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5</w:t>
            </w:r>
          </w:p>
        </w:tc>
        <w:tc>
          <w:tcPr>
            <w:tcW w:w="359" w:type="pct"/>
            <w:tcBorders>
              <w:top w:val="nil"/>
              <w:left w:val="nil"/>
              <w:bottom w:val="nil"/>
              <w:right w:val="nil"/>
            </w:tcBorders>
            <w:noWrap/>
            <w:vAlign w:val="center"/>
            <w:hideMark/>
          </w:tcPr>
          <w:p w14:paraId="063699C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1.8%</w:t>
            </w:r>
          </w:p>
        </w:tc>
      </w:tr>
      <w:tr w:rsidR="00034EEB" w:rsidRPr="00C86EDA" w14:paraId="637D3435" w14:textId="77777777" w:rsidTr="00FA087C">
        <w:trPr>
          <w:trHeight w:val="227"/>
        </w:trPr>
        <w:tc>
          <w:tcPr>
            <w:tcW w:w="704" w:type="pct"/>
            <w:tcBorders>
              <w:top w:val="nil"/>
              <w:left w:val="nil"/>
              <w:bottom w:val="nil"/>
              <w:right w:val="nil"/>
            </w:tcBorders>
            <w:noWrap/>
            <w:vAlign w:val="center"/>
            <w:hideMark/>
          </w:tcPr>
          <w:p w14:paraId="49718DF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nil"/>
              <w:right w:val="nil"/>
            </w:tcBorders>
            <w:noWrap/>
            <w:vAlign w:val="center"/>
            <w:hideMark/>
          </w:tcPr>
          <w:p w14:paraId="24601ED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824" w:type="pct"/>
            <w:tcBorders>
              <w:top w:val="nil"/>
              <w:left w:val="nil"/>
              <w:bottom w:val="nil"/>
              <w:right w:val="nil"/>
            </w:tcBorders>
            <w:noWrap/>
            <w:vAlign w:val="center"/>
            <w:hideMark/>
          </w:tcPr>
          <w:p w14:paraId="168AE27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556" w:type="pct"/>
            <w:tcBorders>
              <w:top w:val="nil"/>
              <w:left w:val="nil"/>
              <w:bottom w:val="nil"/>
              <w:right w:val="nil"/>
            </w:tcBorders>
            <w:noWrap/>
            <w:vAlign w:val="center"/>
            <w:hideMark/>
          </w:tcPr>
          <w:p w14:paraId="691F8F7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677" w:type="pct"/>
            <w:tcBorders>
              <w:top w:val="nil"/>
              <w:left w:val="nil"/>
              <w:bottom w:val="nil"/>
              <w:right w:val="nil"/>
            </w:tcBorders>
            <w:noWrap/>
            <w:vAlign w:val="center"/>
            <w:hideMark/>
          </w:tcPr>
          <w:p w14:paraId="7AD032C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4</w:t>
            </w:r>
          </w:p>
        </w:tc>
        <w:tc>
          <w:tcPr>
            <w:tcW w:w="359" w:type="pct"/>
            <w:tcBorders>
              <w:top w:val="nil"/>
              <w:left w:val="nil"/>
              <w:bottom w:val="nil"/>
              <w:right w:val="nil"/>
            </w:tcBorders>
            <w:noWrap/>
            <w:vAlign w:val="center"/>
            <w:hideMark/>
          </w:tcPr>
          <w:p w14:paraId="2038047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0.9%</w:t>
            </w:r>
          </w:p>
        </w:tc>
        <w:tc>
          <w:tcPr>
            <w:tcW w:w="138" w:type="pct"/>
            <w:tcBorders>
              <w:top w:val="nil"/>
              <w:left w:val="nil"/>
              <w:bottom w:val="nil"/>
              <w:right w:val="nil"/>
            </w:tcBorders>
          </w:tcPr>
          <w:p w14:paraId="2010D1F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40534D5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359" w:type="pct"/>
            <w:tcBorders>
              <w:top w:val="nil"/>
              <w:left w:val="nil"/>
              <w:bottom w:val="nil"/>
              <w:right w:val="nil"/>
            </w:tcBorders>
            <w:noWrap/>
            <w:vAlign w:val="center"/>
            <w:hideMark/>
          </w:tcPr>
          <w:p w14:paraId="56CBCCD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1.1%</w:t>
            </w:r>
          </w:p>
        </w:tc>
      </w:tr>
      <w:tr w:rsidR="00034EEB" w:rsidRPr="00C86EDA" w14:paraId="5730C75D" w14:textId="77777777" w:rsidTr="00FA087C">
        <w:trPr>
          <w:trHeight w:val="227"/>
        </w:trPr>
        <w:tc>
          <w:tcPr>
            <w:tcW w:w="704" w:type="pct"/>
            <w:tcBorders>
              <w:top w:val="nil"/>
              <w:left w:val="nil"/>
              <w:bottom w:val="nil"/>
              <w:right w:val="nil"/>
            </w:tcBorders>
            <w:noWrap/>
            <w:vAlign w:val="center"/>
            <w:hideMark/>
          </w:tcPr>
          <w:p w14:paraId="5548BDA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704" w:type="pct"/>
            <w:tcBorders>
              <w:top w:val="nil"/>
              <w:left w:val="nil"/>
              <w:bottom w:val="nil"/>
              <w:right w:val="nil"/>
            </w:tcBorders>
            <w:noWrap/>
            <w:vAlign w:val="center"/>
            <w:hideMark/>
          </w:tcPr>
          <w:p w14:paraId="629FA44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824" w:type="pct"/>
            <w:tcBorders>
              <w:top w:val="nil"/>
              <w:left w:val="nil"/>
              <w:bottom w:val="nil"/>
              <w:right w:val="nil"/>
            </w:tcBorders>
            <w:noWrap/>
            <w:vAlign w:val="center"/>
            <w:hideMark/>
          </w:tcPr>
          <w:p w14:paraId="216EFD8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556" w:type="pct"/>
            <w:tcBorders>
              <w:top w:val="nil"/>
              <w:left w:val="nil"/>
              <w:bottom w:val="nil"/>
              <w:right w:val="nil"/>
            </w:tcBorders>
            <w:noWrap/>
            <w:vAlign w:val="center"/>
            <w:hideMark/>
          </w:tcPr>
          <w:p w14:paraId="3A002E6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677" w:type="pct"/>
            <w:tcBorders>
              <w:top w:val="nil"/>
              <w:left w:val="nil"/>
              <w:bottom w:val="nil"/>
              <w:right w:val="nil"/>
            </w:tcBorders>
            <w:noWrap/>
            <w:vAlign w:val="center"/>
            <w:hideMark/>
          </w:tcPr>
          <w:p w14:paraId="34011EE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359" w:type="pct"/>
            <w:tcBorders>
              <w:top w:val="nil"/>
              <w:left w:val="nil"/>
              <w:bottom w:val="nil"/>
              <w:right w:val="nil"/>
            </w:tcBorders>
            <w:noWrap/>
            <w:vAlign w:val="center"/>
            <w:hideMark/>
          </w:tcPr>
          <w:p w14:paraId="2A0A621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0.7%</w:t>
            </w:r>
          </w:p>
        </w:tc>
        <w:tc>
          <w:tcPr>
            <w:tcW w:w="138" w:type="pct"/>
            <w:tcBorders>
              <w:top w:val="nil"/>
              <w:left w:val="nil"/>
              <w:bottom w:val="nil"/>
              <w:right w:val="nil"/>
            </w:tcBorders>
          </w:tcPr>
          <w:p w14:paraId="6B613F8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0CCFFD7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w:t>
            </w:r>
          </w:p>
        </w:tc>
        <w:tc>
          <w:tcPr>
            <w:tcW w:w="359" w:type="pct"/>
            <w:tcBorders>
              <w:top w:val="nil"/>
              <w:left w:val="nil"/>
              <w:bottom w:val="nil"/>
              <w:right w:val="nil"/>
            </w:tcBorders>
            <w:noWrap/>
            <w:vAlign w:val="center"/>
            <w:hideMark/>
          </w:tcPr>
          <w:p w14:paraId="223B477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0.4%</w:t>
            </w:r>
          </w:p>
        </w:tc>
      </w:tr>
      <w:tr w:rsidR="00034EEB" w:rsidRPr="00C86EDA" w14:paraId="431D51D9" w14:textId="77777777" w:rsidTr="00FA087C">
        <w:trPr>
          <w:trHeight w:val="227"/>
        </w:trPr>
        <w:tc>
          <w:tcPr>
            <w:tcW w:w="704" w:type="pct"/>
            <w:tcBorders>
              <w:top w:val="nil"/>
              <w:left w:val="nil"/>
              <w:bottom w:val="nil"/>
              <w:right w:val="nil"/>
            </w:tcBorders>
            <w:noWrap/>
            <w:vAlign w:val="center"/>
            <w:hideMark/>
          </w:tcPr>
          <w:p w14:paraId="055D2AA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704" w:type="pct"/>
            <w:tcBorders>
              <w:top w:val="nil"/>
              <w:left w:val="nil"/>
              <w:bottom w:val="nil"/>
              <w:right w:val="nil"/>
            </w:tcBorders>
            <w:noWrap/>
            <w:vAlign w:val="center"/>
            <w:hideMark/>
          </w:tcPr>
          <w:p w14:paraId="623A29C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824" w:type="pct"/>
            <w:tcBorders>
              <w:top w:val="nil"/>
              <w:left w:val="nil"/>
              <w:bottom w:val="nil"/>
              <w:right w:val="nil"/>
            </w:tcBorders>
            <w:noWrap/>
            <w:vAlign w:val="center"/>
            <w:hideMark/>
          </w:tcPr>
          <w:p w14:paraId="6C617A5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556" w:type="pct"/>
            <w:tcBorders>
              <w:top w:val="nil"/>
              <w:left w:val="nil"/>
              <w:bottom w:val="nil"/>
              <w:right w:val="nil"/>
            </w:tcBorders>
            <w:noWrap/>
            <w:vAlign w:val="center"/>
            <w:hideMark/>
          </w:tcPr>
          <w:p w14:paraId="729FBE5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w:t>
            </w:r>
          </w:p>
        </w:tc>
        <w:tc>
          <w:tcPr>
            <w:tcW w:w="677" w:type="pct"/>
            <w:tcBorders>
              <w:top w:val="nil"/>
              <w:left w:val="nil"/>
              <w:bottom w:val="nil"/>
              <w:right w:val="nil"/>
            </w:tcBorders>
            <w:noWrap/>
            <w:vAlign w:val="center"/>
            <w:hideMark/>
          </w:tcPr>
          <w:p w14:paraId="7555DBF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359" w:type="pct"/>
            <w:tcBorders>
              <w:top w:val="nil"/>
              <w:left w:val="nil"/>
              <w:bottom w:val="nil"/>
              <w:right w:val="nil"/>
            </w:tcBorders>
            <w:noWrap/>
            <w:vAlign w:val="center"/>
            <w:hideMark/>
          </w:tcPr>
          <w:p w14:paraId="79E4237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0.5%</w:t>
            </w:r>
          </w:p>
        </w:tc>
        <w:tc>
          <w:tcPr>
            <w:tcW w:w="138" w:type="pct"/>
            <w:tcBorders>
              <w:top w:val="nil"/>
              <w:left w:val="nil"/>
              <w:bottom w:val="nil"/>
              <w:right w:val="nil"/>
            </w:tcBorders>
          </w:tcPr>
          <w:p w14:paraId="40306D0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noWrap/>
            <w:vAlign w:val="center"/>
            <w:hideMark/>
          </w:tcPr>
          <w:p w14:paraId="1CD2C02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c>
          <w:tcPr>
            <w:tcW w:w="359" w:type="pct"/>
            <w:tcBorders>
              <w:top w:val="nil"/>
              <w:left w:val="nil"/>
              <w:bottom w:val="nil"/>
              <w:right w:val="nil"/>
            </w:tcBorders>
            <w:noWrap/>
            <w:vAlign w:val="center"/>
            <w:hideMark/>
          </w:tcPr>
          <w:p w14:paraId="5C22EE5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r>
      <w:tr w:rsidR="00034EEB" w:rsidRPr="00C86EDA" w14:paraId="0F358D4D" w14:textId="77777777" w:rsidTr="00FA087C">
        <w:trPr>
          <w:trHeight w:val="227"/>
        </w:trPr>
        <w:tc>
          <w:tcPr>
            <w:tcW w:w="704" w:type="pct"/>
            <w:tcBorders>
              <w:top w:val="nil"/>
              <w:left w:val="nil"/>
              <w:bottom w:val="single" w:sz="12" w:space="0" w:color="auto"/>
              <w:right w:val="nil"/>
            </w:tcBorders>
            <w:noWrap/>
            <w:vAlign w:val="center"/>
            <w:hideMark/>
          </w:tcPr>
          <w:p w14:paraId="56D9C30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single" w:sz="12" w:space="0" w:color="auto"/>
              <w:right w:val="nil"/>
            </w:tcBorders>
            <w:noWrap/>
            <w:vAlign w:val="center"/>
            <w:hideMark/>
          </w:tcPr>
          <w:p w14:paraId="7B1CC60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824" w:type="pct"/>
            <w:tcBorders>
              <w:top w:val="nil"/>
              <w:left w:val="nil"/>
              <w:bottom w:val="single" w:sz="12" w:space="0" w:color="auto"/>
              <w:right w:val="nil"/>
            </w:tcBorders>
            <w:noWrap/>
            <w:vAlign w:val="center"/>
            <w:hideMark/>
          </w:tcPr>
          <w:p w14:paraId="19E5E17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single" w:sz="12" w:space="0" w:color="auto"/>
              <w:right w:val="nil"/>
            </w:tcBorders>
            <w:noWrap/>
            <w:vAlign w:val="center"/>
            <w:hideMark/>
          </w:tcPr>
          <w:p w14:paraId="23088EC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5</w:t>
            </w:r>
          </w:p>
        </w:tc>
        <w:tc>
          <w:tcPr>
            <w:tcW w:w="677" w:type="pct"/>
            <w:tcBorders>
              <w:top w:val="nil"/>
              <w:left w:val="nil"/>
              <w:bottom w:val="single" w:sz="12" w:space="0" w:color="auto"/>
              <w:right w:val="nil"/>
            </w:tcBorders>
            <w:noWrap/>
            <w:vAlign w:val="center"/>
            <w:hideMark/>
          </w:tcPr>
          <w:p w14:paraId="1A5ACA6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w:t>
            </w:r>
          </w:p>
        </w:tc>
        <w:tc>
          <w:tcPr>
            <w:tcW w:w="359" w:type="pct"/>
            <w:tcBorders>
              <w:top w:val="nil"/>
              <w:left w:val="nil"/>
              <w:bottom w:val="single" w:sz="12" w:space="0" w:color="auto"/>
              <w:right w:val="nil"/>
            </w:tcBorders>
            <w:noWrap/>
            <w:vAlign w:val="center"/>
            <w:hideMark/>
          </w:tcPr>
          <w:p w14:paraId="281498C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0.2%</w:t>
            </w:r>
          </w:p>
        </w:tc>
        <w:tc>
          <w:tcPr>
            <w:tcW w:w="138" w:type="pct"/>
            <w:tcBorders>
              <w:top w:val="nil"/>
              <w:left w:val="nil"/>
              <w:bottom w:val="single" w:sz="12" w:space="0" w:color="auto"/>
              <w:right w:val="nil"/>
            </w:tcBorders>
          </w:tcPr>
          <w:p w14:paraId="3935FAB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single" w:sz="12" w:space="0" w:color="auto"/>
              <w:right w:val="nil"/>
            </w:tcBorders>
            <w:noWrap/>
            <w:vAlign w:val="center"/>
            <w:hideMark/>
          </w:tcPr>
          <w:p w14:paraId="66DEF71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c>
          <w:tcPr>
            <w:tcW w:w="359" w:type="pct"/>
            <w:tcBorders>
              <w:top w:val="nil"/>
              <w:left w:val="nil"/>
              <w:bottom w:val="single" w:sz="12" w:space="0" w:color="auto"/>
              <w:right w:val="nil"/>
            </w:tcBorders>
            <w:noWrap/>
            <w:vAlign w:val="center"/>
            <w:hideMark/>
          </w:tcPr>
          <w:p w14:paraId="12BA46A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r>
    </w:tbl>
    <w:p w14:paraId="7ABFC7C1" w14:textId="77777777" w:rsidR="00FA087C" w:rsidRPr="00C86EDA" w:rsidRDefault="00FA087C" w:rsidP="007F0B51">
      <w:pPr>
        <w:pStyle w:val="Textoindependiente"/>
        <w:spacing w:after="0" w:line="240" w:lineRule="auto"/>
        <w:rPr>
          <w:rFonts w:asciiTheme="majorHAnsi" w:hAnsiTheme="majorHAnsi" w:cstheme="majorHAnsi"/>
          <w:sz w:val="20"/>
          <w:szCs w:val="20"/>
        </w:rPr>
      </w:pPr>
      <w:r w:rsidRPr="00C86EDA">
        <w:rPr>
          <w:rFonts w:asciiTheme="majorHAnsi" w:hAnsiTheme="majorHAnsi" w:cstheme="majorHAnsi"/>
          <w:sz w:val="20"/>
          <w:szCs w:val="20"/>
        </w:rPr>
        <w:t>Fuente: Elaboración propia.</w:t>
      </w:r>
    </w:p>
    <w:p w14:paraId="7F480C36" w14:textId="77777777" w:rsidR="00C86EDA" w:rsidRDefault="00C86EDA" w:rsidP="007F0B51">
      <w:pPr>
        <w:pStyle w:val="Textoindependiente"/>
        <w:spacing w:after="0" w:line="240" w:lineRule="auto"/>
        <w:rPr>
          <w:rFonts w:asciiTheme="majorHAnsi" w:hAnsiTheme="majorHAnsi" w:cstheme="majorHAnsi"/>
          <w:b/>
          <w:bCs/>
          <w:szCs w:val="24"/>
        </w:rPr>
      </w:pPr>
      <w:bookmarkStart w:id="0" w:name="_Hlk181139733"/>
    </w:p>
    <w:p w14:paraId="5EA3C0C7" w14:textId="4D3EDA43" w:rsidR="00DB7E60" w:rsidRPr="00150B28" w:rsidRDefault="00DB7E60" w:rsidP="007F0B51">
      <w:pPr>
        <w:pStyle w:val="Textoindependiente"/>
        <w:spacing w:after="0" w:line="240" w:lineRule="auto"/>
        <w:rPr>
          <w:rFonts w:asciiTheme="majorHAnsi" w:hAnsiTheme="majorHAnsi" w:cstheme="majorHAnsi"/>
          <w:b/>
          <w:bCs/>
          <w:szCs w:val="24"/>
        </w:rPr>
      </w:pPr>
      <w:r w:rsidRPr="00150B28">
        <w:rPr>
          <w:rFonts w:asciiTheme="majorHAnsi" w:hAnsiTheme="majorHAnsi" w:cstheme="majorHAnsi"/>
          <w:b/>
          <w:bCs/>
          <w:szCs w:val="24"/>
        </w:rPr>
        <w:t>Análisis de correlación.</w:t>
      </w:r>
    </w:p>
    <w:p w14:paraId="4B27786B" w14:textId="408B76DA" w:rsidR="00DB7E60" w:rsidRPr="00150B28" w:rsidRDefault="00DB7E60" w:rsidP="007F0B51">
      <w:pPr>
        <w:pStyle w:val="Textoindependiente"/>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Se evaluó la correlación entre el nivel global de ansiedad y el rendimiento académico de los estudiantes mediante la prueba de correlación de Spearman. La Figura 3 muestra las gráficas de dispersión de los datos recolectados para primer (azul) y segundo semestre (verde). Se calcularon los coeficientes de correlación para ambos conjuntos de datos, encontrando que, para la nube de puntos del primer semestre, el coeficiente de correlación es </w:t>
      </w:r>
      <w:bookmarkStart w:id="1" w:name="OLE_LINK1"/>
      <w:r w:rsidRPr="00150B28">
        <w:rPr>
          <w:rFonts w:asciiTheme="majorHAnsi" w:hAnsiTheme="majorHAnsi" w:cstheme="majorHAnsi"/>
          <w:szCs w:val="24"/>
        </w:rPr>
        <w:t xml:space="preserve">r=-0.1826 (p=0.0002, α=0.05) </w:t>
      </w:r>
      <w:bookmarkEnd w:id="1"/>
      <w:r w:rsidRPr="00150B28">
        <w:rPr>
          <w:rFonts w:asciiTheme="majorHAnsi" w:hAnsiTheme="majorHAnsi" w:cstheme="majorHAnsi"/>
          <w:szCs w:val="24"/>
        </w:rPr>
        <w:t>mientras que para el segundo semestre r=-0.2289 (p=0.</w:t>
      </w:r>
      <w:proofErr w:type="gramStart"/>
      <w:r w:rsidRPr="00150B28">
        <w:rPr>
          <w:rFonts w:asciiTheme="majorHAnsi" w:hAnsiTheme="majorHAnsi" w:cstheme="majorHAnsi"/>
          <w:szCs w:val="24"/>
        </w:rPr>
        <w:t>0001 ,</w:t>
      </w:r>
      <w:proofErr w:type="gramEnd"/>
      <w:r w:rsidRPr="00150B28">
        <w:rPr>
          <w:rFonts w:asciiTheme="majorHAnsi" w:hAnsiTheme="majorHAnsi" w:cstheme="majorHAnsi"/>
          <w:szCs w:val="24"/>
        </w:rPr>
        <w:t xml:space="preserve"> α=0.05). En ambos casos, existe una correlación negativa débil pero estadísticamente significativa, lo que indica que, en ambos grupos, un aumento en la puntuación de ansiedad global tiende a estar asociado con una disminución en la calificación en el examen.</w:t>
      </w:r>
    </w:p>
    <w:bookmarkEnd w:id="0"/>
    <w:p w14:paraId="444390D0" w14:textId="77777777" w:rsidR="00DB7E60" w:rsidRPr="00150B28" w:rsidRDefault="00DB7E60" w:rsidP="007F0B51">
      <w:pPr>
        <w:pStyle w:val="Textoindependiente"/>
        <w:spacing w:after="0" w:line="240" w:lineRule="auto"/>
        <w:rPr>
          <w:rFonts w:asciiTheme="majorHAnsi" w:hAnsiTheme="majorHAnsi" w:cstheme="majorHAnsi"/>
          <w:szCs w:val="24"/>
        </w:rPr>
      </w:pPr>
    </w:p>
    <w:p w14:paraId="6F1763A3" w14:textId="77777777" w:rsidR="00DB7E60" w:rsidRPr="00150B28" w:rsidRDefault="00DB7E60" w:rsidP="007F0B51">
      <w:pPr>
        <w:pStyle w:val="Textoindependiente"/>
        <w:spacing w:after="0" w:line="240" w:lineRule="auto"/>
        <w:jc w:val="both"/>
        <w:rPr>
          <w:rFonts w:asciiTheme="majorHAnsi" w:hAnsiTheme="majorHAnsi" w:cstheme="majorHAnsi"/>
          <w:szCs w:val="24"/>
        </w:rPr>
      </w:pPr>
      <w:r w:rsidRPr="00150B28">
        <w:rPr>
          <w:rFonts w:asciiTheme="majorHAnsi" w:hAnsiTheme="majorHAnsi" w:cstheme="majorHAnsi"/>
          <w:szCs w:val="24"/>
        </w:rPr>
        <w:t>Figura 3. Datos totales de calificación de examen vs nivel de ansiedad global para cada semestre.</w:t>
      </w:r>
    </w:p>
    <w:p w14:paraId="6F564984" w14:textId="77777777" w:rsidR="00DB7E60" w:rsidRPr="00150B28" w:rsidRDefault="00DB7E60"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noProof/>
          <w:szCs w:val="24"/>
        </w:rPr>
        <w:drawing>
          <wp:inline distT="0" distB="0" distL="0" distR="0" wp14:anchorId="298030C5" wp14:editId="034BE8EC">
            <wp:extent cx="2754875" cy="1908000"/>
            <wp:effectExtent l="0" t="0" r="7620" b="0"/>
            <wp:docPr id="14032834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83411" name="Imagen 1403283411"/>
                    <pic:cNvPicPr/>
                  </pic:nvPicPr>
                  <pic:blipFill>
                    <a:blip r:embed="rId12"/>
                    <a:stretch>
                      <a:fillRect/>
                    </a:stretch>
                  </pic:blipFill>
                  <pic:spPr>
                    <a:xfrm>
                      <a:off x="0" y="0"/>
                      <a:ext cx="2754875" cy="1908000"/>
                    </a:xfrm>
                    <a:prstGeom prst="rect">
                      <a:avLst/>
                    </a:prstGeom>
                  </pic:spPr>
                </pic:pic>
              </a:graphicData>
            </a:graphic>
          </wp:inline>
        </w:drawing>
      </w:r>
      <w:r w:rsidRPr="00150B28">
        <w:rPr>
          <w:rFonts w:asciiTheme="majorHAnsi" w:hAnsiTheme="majorHAnsi" w:cstheme="majorHAnsi"/>
          <w:noProof/>
          <w:szCs w:val="24"/>
        </w:rPr>
        <w:drawing>
          <wp:inline distT="0" distB="0" distL="0" distR="0" wp14:anchorId="49B3FCDA" wp14:editId="0252BD41">
            <wp:extent cx="2668370" cy="1944000"/>
            <wp:effectExtent l="0" t="0" r="0" b="0"/>
            <wp:docPr id="75660365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03653" name="Imagen 756603653"/>
                    <pic:cNvPicPr/>
                  </pic:nvPicPr>
                  <pic:blipFill rotWithShape="1">
                    <a:blip r:embed="rId13"/>
                    <a:srcRect r="4867"/>
                    <a:stretch/>
                  </pic:blipFill>
                  <pic:spPr bwMode="auto">
                    <a:xfrm>
                      <a:off x="0" y="0"/>
                      <a:ext cx="2668370" cy="1944000"/>
                    </a:xfrm>
                    <a:prstGeom prst="rect">
                      <a:avLst/>
                    </a:prstGeom>
                    <a:ln>
                      <a:noFill/>
                    </a:ln>
                    <a:extLst>
                      <a:ext uri="{53640926-AAD7-44D8-BBD7-CCE9431645EC}">
                        <a14:shadowObscured xmlns:a14="http://schemas.microsoft.com/office/drawing/2010/main"/>
                      </a:ext>
                    </a:extLst>
                  </pic:spPr>
                </pic:pic>
              </a:graphicData>
            </a:graphic>
          </wp:inline>
        </w:drawing>
      </w:r>
    </w:p>
    <w:p w14:paraId="1587DF70" w14:textId="15CDCF5D" w:rsidR="00D451F5" w:rsidRPr="00150B28" w:rsidRDefault="00D451F5"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Fuente: Elaboración propia</w:t>
      </w:r>
    </w:p>
    <w:p w14:paraId="5C4F3CF8" w14:textId="77777777" w:rsidR="00DB7E60" w:rsidRPr="00150B28" w:rsidRDefault="00DB7E60" w:rsidP="007F0B51">
      <w:pPr>
        <w:pStyle w:val="Textoindependiente"/>
        <w:spacing w:after="0" w:line="240" w:lineRule="auto"/>
        <w:rPr>
          <w:rFonts w:asciiTheme="majorHAnsi" w:hAnsiTheme="majorHAnsi" w:cstheme="majorHAnsi"/>
          <w:szCs w:val="24"/>
        </w:rPr>
      </w:pPr>
    </w:p>
    <w:p w14:paraId="66E2E536" w14:textId="439E04AA" w:rsidR="00DB7E60" w:rsidRDefault="00DB7E60" w:rsidP="007F0B51">
      <w:pPr>
        <w:pStyle w:val="Textoindependiente"/>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Dada la influencia de la variabilidad en las calificaciones en los resultados de la correlación, se calcularon el promedio, la desviación estándar y la mediana de las calificaciones en cada nivel de ansiedad global, presentados en la Tabla 2. Se analizó la correlación entre el nivel de ansiedad global y la calificación promedio, encontrando que, en el primer semestre, r=-0.9643 (p=0.0028, α=0.05) y en segundo semestre r=-1.000 (p=0.0028, α=0.05). Después, se examinó la correlación entre el nivel de ansiedad global y la mediana de las calificaciones en cada nivel de ansiedad, encontrando que, r=-0.7638 (p=0.0540, α=0.05) para el primer semestre y r=-0.8857 (p=0.033, α=0.05) para el segundo. Estos resultados evidencian una correlación significativa entre el aumento de la ansiedad y la disminución de las calificaciones en los exámenes. </w:t>
      </w:r>
    </w:p>
    <w:p w14:paraId="258AE99C" w14:textId="77777777" w:rsidR="00C86EDA" w:rsidRPr="00150B28" w:rsidRDefault="00C86EDA" w:rsidP="007F0B51">
      <w:pPr>
        <w:pStyle w:val="Textoindependiente"/>
        <w:spacing w:after="0" w:line="240" w:lineRule="auto"/>
        <w:jc w:val="both"/>
        <w:rPr>
          <w:rFonts w:asciiTheme="majorHAnsi" w:hAnsiTheme="majorHAnsi" w:cstheme="majorHAnsi"/>
          <w:szCs w:val="24"/>
        </w:rPr>
      </w:pPr>
    </w:p>
    <w:p w14:paraId="4BC62511" w14:textId="07C4B9FA" w:rsidR="00786193" w:rsidRPr="00150B28" w:rsidRDefault="00DB7E60" w:rsidP="007F0B51">
      <w:pPr>
        <w:spacing w:after="0" w:line="240" w:lineRule="auto"/>
        <w:jc w:val="center"/>
        <w:rPr>
          <w:rFonts w:asciiTheme="majorHAnsi" w:hAnsiTheme="majorHAnsi" w:cstheme="majorHAnsi"/>
          <w:bCs/>
          <w:szCs w:val="24"/>
        </w:rPr>
      </w:pPr>
      <w:r w:rsidRPr="00150B28">
        <w:rPr>
          <w:rFonts w:asciiTheme="majorHAnsi" w:hAnsiTheme="majorHAnsi" w:cstheme="majorHAnsi"/>
          <w:bCs/>
          <w:szCs w:val="24"/>
        </w:rPr>
        <w:t>Tabla 2:</w:t>
      </w:r>
      <w:r w:rsidRPr="00150B28">
        <w:rPr>
          <w:rFonts w:asciiTheme="majorHAnsi" w:hAnsiTheme="majorHAnsi" w:cstheme="majorHAnsi"/>
          <w:szCs w:val="24"/>
        </w:rPr>
        <w:t xml:space="preserve"> Promedio, desviación estándar y mediana de las calificaciones en cada nivel de ansiedad global</w:t>
      </w:r>
      <w:r w:rsidR="00CF36B9" w:rsidRPr="00150B28">
        <w:rPr>
          <w:rFonts w:asciiTheme="majorHAnsi" w:hAnsiTheme="majorHAnsi" w:cstheme="majorHAnsi"/>
          <w:szCs w:val="24"/>
        </w:rPr>
        <w:t xml:space="preserve"> por semestre.</w:t>
      </w:r>
    </w:p>
    <w:tbl>
      <w:tblPr>
        <w:tblW w:w="3740" w:type="pct"/>
        <w:jc w:val="center"/>
        <w:tblCellMar>
          <w:left w:w="70" w:type="dxa"/>
          <w:right w:w="70" w:type="dxa"/>
        </w:tblCellMar>
        <w:tblLook w:val="04A0" w:firstRow="1" w:lastRow="0" w:firstColumn="1" w:lastColumn="0" w:noHBand="0" w:noVBand="1"/>
      </w:tblPr>
      <w:tblGrid>
        <w:gridCol w:w="1156"/>
        <w:gridCol w:w="352"/>
        <w:gridCol w:w="955"/>
        <w:gridCol w:w="955"/>
        <w:gridCol w:w="976"/>
        <w:gridCol w:w="337"/>
        <w:gridCol w:w="955"/>
        <w:gridCol w:w="955"/>
        <w:gridCol w:w="899"/>
      </w:tblGrid>
      <w:tr w:rsidR="00DB7E60" w:rsidRPr="00150B28" w14:paraId="2D730B44" w14:textId="77777777" w:rsidTr="00CF36B9">
        <w:trPr>
          <w:trHeight w:val="283"/>
          <w:jc w:val="center"/>
        </w:trPr>
        <w:tc>
          <w:tcPr>
            <w:tcW w:w="665" w:type="pct"/>
            <w:vMerge w:val="restart"/>
            <w:tcBorders>
              <w:top w:val="single" w:sz="12" w:space="0" w:color="auto"/>
              <w:left w:val="nil"/>
            </w:tcBorders>
            <w:vAlign w:val="center"/>
            <w:hideMark/>
          </w:tcPr>
          <w:p w14:paraId="6AD90BA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NIVEL DE ANSIEDAD GLOBAL</w:t>
            </w:r>
          </w:p>
        </w:tc>
        <w:tc>
          <w:tcPr>
            <w:tcW w:w="246" w:type="pct"/>
            <w:tcBorders>
              <w:top w:val="single" w:sz="12" w:space="0" w:color="auto"/>
            </w:tcBorders>
            <w:vAlign w:val="center"/>
          </w:tcPr>
          <w:p w14:paraId="239FDA9C"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1951" w:type="pct"/>
            <w:gridSpan w:val="3"/>
            <w:tcBorders>
              <w:top w:val="single" w:sz="12" w:space="0" w:color="auto"/>
              <w:bottom w:val="single" w:sz="6" w:space="0" w:color="auto"/>
            </w:tcBorders>
            <w:noWrap/>
            <w:vAlign w:val="center"/>
          </w:tcPr>
          <w:p w14:paraId="46925249"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1° SEMESTRE</w:t>
            </w:r>
          </w:p>
        </w:tc>
        <w:tc>
          <w:tcPr>
            <w:tcW w:w="236" w:type="pct"/>
            <w:tcBorders>
              <w:top w:val="single" w:sz="12" w:space="0" w:color="auto"/>
            </w:tcBorders>
            <w:vAlign w:val="center"/>
          </w:tcPr>
          <w:p w14:paraId="766B9C86"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1901" w:type="pct"/>
            <w:gridSpan w:val="3"/>
            <w:tcBorders>
              <w:top w:val="single" w:sz="12" w:space="0" w:color="auto"/>
              <w:bottom w:val="single" w:sz="6" w:space="0" w:color="auto"/>
            </w:tcBorders>
            <w:vAlign w:val="center"/>
          </w:tcPr>
          <w:p w14:paraId="1960B10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 SEMESTRE</w:t>
            </w:r>
          </w:p>
        </w:tc>
      </w:tr>
      <w:tr w:rsidR="00DB7E60" w:rsidRPr="00150B28" w14:paraId="46225AB3" w14:textId="77777777" w:rsidTr="00CF36B9">
        <w:trPr>
          <w:trHeight w:val="156"/>
          <w:jc w:val="center"/>
        </w:trPr>
        <w:tc>
          <w:tcPr>
            <w:tcW w:w="665" w:type="pct"/>
            <w:vMerge/>
            <w:tcBorders>
              <w:left w:val="nil"/>
              <w:bottom w:val="single" w:sz="12" w:space="0" w:color="auto"/>
            </w:tcBorders>
            <w:vAlign w:val="center"/>
          </w:tcPr>
          <w:p w14:paraId="3184075F"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246" w:type="pct"/>
            <w:vAlign w:val="center"/>
          </w:tcPr>
          <w:p w14:paraId="311B8EE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single" w:sz="6" w:space="0" w:color="auto"/>
              <w:bottom w:val="single" w:sz="12" w:space="0" w:color="auto"/>
            </w:tcBorders>
            <w:noWrap/>
            <w:vAlign w:val="center"/>
          </w:tcPr>
          <w:p w14:paraId="0946AB2F" w14:textId="77777777" w:rsidR="00DB7E60" w:rsidRPr="00150B28" w:rsidRDefault="00D16E65" w:rsidP="007F0B51">
            <w:pPr>
              <w:spacing w:after="0" w:line="240" w:lineRule="auto"/>
              <w:jc w:val="center"/>
              <w:rPr>
                <w:rFonts w:asciiTheme="majorHAnsi" w:eastAsia="Times New Roman" w:hAnsiTheme="majorHAnsi" w:cstheme="majorHAnsi"/>
                <w:color w:val="000000"/>
                <w:szCs w:val="24"/>
                <w:lang w:eastAsia="es-MX"/>
              </w:rPr>
            </w:pPr>
            <m:oMathPara>
              <m:oMath>
                <m:acc>
                  <m:accPr>
                    <m:chr m:val="̅"/>
                    <m:ctrlPr>
                      <w:rPr>
                        <w:rFonts w:ascii="Cambria Math" w:eastAsia="Times New Roman" w:hAnsi="Cambria Math" w:cstheme="majorHAnsi"/>
                        <w:color w:val="000000"/>
                        <w:szCs w:val="24"/>
                        <w:lang w:eastAsia="es-MX"/>
                      </w:rPr>
                    </m:ctrlPr>
                  </m:accPr>
                  <m:e>
                    <m:r>
                      <m:rPr>
                        <m:nor/>
                      </m:rPr>
                      <w:rPr>
                        <w:rFonts w:asciiTheme="majorHAnsi" w:eastAsia="Times New Roman" w:hAnsiTheme="majorHAnsi" w:cstheme="majorHAnsi"/>
                        <w:color w:val="000000"/>
                        <w:szCs w:val="24"/>
                        <w:lang w:eastAsia="es-MX"/>
                      </w:rPr>
                      <m:t>X</m:t>
                    </m:r>
                  </m:e>
                </m:acc>
              </m:oMath>
            </m:oMathPara>
          </w:p>
        </w:tc>
        <w:tc>
          <w:tcPr>
            <w:tcW w:w="646" w:type="pct"/>
            <w:tcBorders>
              <w:top w:val="single" w:sz="6" w:space="0" w:color="auto"/>
              <w:bottom w:val="single" w:sz="12" w:space="0" w:color="auto"/>
            </w:tcBorders>
            <w:vAlign w:val="center"/>
          </w:tcPr>
          <w:p w14:paraId="7721ED6F"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m:oMathPara>
              <m:oMath>
                <m:r>
                  <m:rPr>
                    <m:nor/>
                  </m:rPr>
                  <w:rPr>
                    <w:rFonts w:asciiTheme="majorHAnsi" w:eastAsia="Times New Roman" w:hAnsiTheme="majorHAnsi" w:cstheme="majorHAnsi"/>
                    <w:color w:val="000000"/>
                    <w:szCs w:val="24"/>
                    <w:lang w:eastAsia="es-MX"/>
                  </w:rPr>
                  <m:t>S</m:t>
                </m:r>
              </m:oMath>
            </m:oMathPara>
          </w:p>
        </w:tc>
        <w:tc>
          <w:tcPr>
            <w:tcW w:w="660" w:type="pct"/>
            <w:tcBorders>
              <w:top w:val="single" w:sz="6" w:space="0" w:color="auto"/>
              <w:bottom w:val="single" w:sz="12" w:space="0" w:color="auto"/>
            </w:tcBorders>
            <w:vAlign w:val="center"/>
          </w:tcPr>
          <w:p w14:paraId="6B9EA07A" w14:textId="77777777" w:rsidR="00DB7E60" w:rsidRPr="00150B28" w:rsidRDefault="00D16E65" w:rsidP="007F0B51">
            <w:pPr>
              <w:spacing w:after="0" w:line="240" w:lineRule="auto"/>
              <w:jc w:val="center"/>
              <w:rPr>
                <w:rFonts w:asciiTheme="majorHAnsi" w:eastAsia="Times New Roman" w:hAnsiTheme="majorHAnsi" w:cstheme="majorHAnsi"/>
                <w:color w:val="000000"/>
                <w:szCs w:val="24"/>
                <w:lang w:eastAsia="es-MX"/>
              </w:rPr>
            </w:pPr>
            <m:oMathPara>
              <m:oMath>
                <m:acc>
                  <m:accPr>
                    <m:chr m:val="̃"/>
                    <m:ctrlPr>
                      <w:rPr>
                        <w:rFonts w:ascii="Cambria Math" w:eastAsia="Times New Roman" w:hAnsi="Cambria Math" w:cstheme="majorHAnsi"/>
                        <w:i/>
                        <w:color w:val="000000"/>
                        <w:szCs w:val="24"/>
                        <w:lang w:eastAsia="es-MX"/>
                      </w:rPr>
                    </m:ctrlPr>
                  </m:accPr>
                  <m:e>
                    <m:r>
                      <m:rPr>
                        <m:nor/>
                      </m:rPr>
                      <w:rPr>
                        <w:rFonts w:asciiTheme="majorHAnsi" w:eastAsia="Times New Roman" w:hAnsiTheme="majorHAnsi" w:cstheme="majorHAnsi"/>
                        <w:color w:val="000000"/>
                        <w:szCs w:val="24"/>
                        <w:lang w:eastAsia="es-MX"/>
                      </w:rPr>
                      <m:t>X</m:t>
                    </m:r>
                  </m:e>
                </m:acc>
              </m:oMath>
            </m:oMathPara>
          </w:p>
        </w:tc>
        <w:tc>
          <w:tcPr>
            <w:tcW w:w="236" w:type="pct"/>
            <w:vAlign w:val="center"/>
          </w:tcPr>
          <w:p w14:paraId="3F7F4A8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single" w:sz="6" w:space="0" w:color="auto"/>
              <w:bottom w:val="single" w:sz="12" w:space="0" w:color="auto"/>
            </w:tcBorders>
            <w:vAlign w:val="center"/>
          </w:tcPr>
          <w:p w14:paraId="115BE229" w14:textId="77777777" w:rsidR="00DB7E60" w:rsidRPr="00150B28" w:rsidRDefault="00D16E65" w:rsidP="007F0B51">
            <w:pPr>
              <w:spacing w:after="0" w:line="240" w:lineRule="auto"/>
              <w:jc w:val="center"/>
              <w:rPr>
                <w:rFonts w:asciiTheme="majorHAnsi" w:eastAsia="Times New Roman" w:hAnsiTheme="majorHAnsi" w:cstheme="majorHAnsi"/>
                <w:color w:val="000000"/>
                <w:szCs w:val="24"/>
                <w:lang w:eastAsia="es-MX"/>
              </w:rPr>
            </w:pPr>
            <m:oMathPara>
              <m:oMath>
                <m:acc>
                  <m:accPr>
                    <m:chr m:val="̅"/>
                    <m:ctrlPr>
                      <w:rPr>
                        <w:rFonts w:ascii="Cambria Math" w:eastAsia="Times New Roman" w:hAnsi="Cambria Math" w:cstheme="majorHAnsi"/>
                        <w:color w:val="000000"/>
                        <w:szCs w:val="24"/>
                        <w:lang w:eastAsia="es-MX"/>
                      </w:rPr>
                    </m:ctrlPr>
                  </m:accPr>
                  <m:e>
                    <m:r>
                      <m:rPr>
                        <m:nor/>
                      </m:rPr>
                      <w:rPr>
                        <w:rFonts w:asciiTheme="majorHAnsi" w:eastAsia="Times New Roman" w:hAnsiTheme="majorHAnsi" w:cstheme="majorHAnsi"/>
                        <w:color w:val="000000"/>
                        <w:szCs w:val="24"/>
                        <w:lang w:eastAsia="es-MX"/>
                      </w:rPr>
                      <m:t>X</m:t>
                    </m:r>
                  </m:e>
                </m:acc>
              </m:oMath>
            </m:oMathPara>
          </w:p>
        </w:tc>
        <w:tc>
          <w:tcPr>
            <w:tcW w:w="646" w:type="pct"/>
            <w:tcBorders>
              <w:top w:val="single" w:sz="6" w:space="0" w:color="auto"/>
              <w:bottom w:val="single" w:sz="12" w:space="0" w:color="auto"/>
            </w:tcBorders>
            <w:vAlign w:val="center"/>
          </w:tcPr>
          <w:p w14:paraId="0CFFF7B2"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m:oMathPara>
              <m:oMath>
                <m:r>
                  <m:rPr>
                    <m:nor/>
                  </m:rPr>
                  <w:rPr>
                    <w:rFonts w:asciiTheme="majorHAnsi" w:eastAsia="Times New Roman" w:hAnsiTheme="majorHAnsi" w:cstheme="majorHAnsi"/>
                    <w:color w:val="000000"/>
                    <w:szCs w:val="24"/>
                    <w:lang w:eastAsia="es-MX"/>
                  </w:rPr>
                  <m:t>S</m:t>
                </m:r>
              </m:oMath>
            </m:oMathPara>
          </w:p>
        </w:tc>
        <w:tc>
          <w:tcPr>
            <w:tcW w:w="610" w:type="pct"/>
            <w:tcBorders>
              <w:top w:val="single" w:sz="6" w:space="0" w:color="auto"/>
              <w:bottom w:val="single" w:sz="12" w:space="0" w:color="auto"/>
            </w:tcBorders>
            <w:vAlign w:val="center"/>
          </w:tcPr>
          <w:p w14:paraId="52CE0F00" w14:textId="77777777" w:rsidR="00DB7E60" w:rsidRPr="00150B28" w:rsidRDefault="00D16E65" w:rsidP="007F0B51">
            <w:pPr>
              <w:spacing w:after="0" w:line="240" w:lineRule="auto"/>
              <w:jc w:val="center"/>
              <w:rPr>
                <w:rFonts w:asciiTheme="majorHAnsi" w:eastAsia="Times New Roman" w:hAnsiTheme="majorHAnsi" w:cstheme="majorHAnsi"/>
                <w:color w:val="000000"/>
                <w:szCs w:val="24"/>
                <w:lang w:eastAsia="es-MX"/>
              </w:rPr>
            </w:pPr>
            <m:oMathPara>
              <m:oMath>
                <m:acc>
                  <m:accPr>
                    <m:chr m:val="̃"/>
                    <m:ctrlPr>
                      <w:rPr>
                        <w:rFonts w:ascii="Cambria Math" w:eastAsia="Times New Roman" w:hAnsi="Cambria Math" w:cstheme="majorHAnsi"/>
                        <w:i/>
                        <w:color w:val="000000"/>
                        <w:szCs w:val="24"/>
                        <w:lang w:eastAsia="es-MX"/>
                      </w:rPr>
                    </m:ctrlPr>
                  </m:accPr>
                  <m:e>
                    <m:r>
                      <m:rPr>
                        <m:nor/>
                      </m:rPr>
                      <w:rPr>
                        <w:rFonts w:asciiTheme="majorHAnsi" w:eastAsia="Times New Roman" w:hAnsiTheme="majorHAnsi" w:cstheme="majorHAnsi"/>
                        <w:color w:val="000000"/>
                        <w:szCs w:val="24"/>
                        <w:lang w:eastAsia="es-MX"/>
                      </w:rPr>
                      <m:t>X</m:t>
                    </m:r>
                  </m:e>
                </m:acc>
              </m:oMath>
            </m:oMathPara>
          </w:p>
        </w:tc>
      </w:tr>
      <w:tr w:rsidR="00DB7E60" w:rsidRPr="00150B28" w14:paraId="4F7CF64F" w14:textId="77777777" w:rsidTr="00CF36B9">
        <w:trPr>
          <w:trHeight w:val="283"/>
          <w:jc w:val="center"/>
        </w:trPr>
        <w:tc>
          <w:tcPr>
            <w:tcW w:w="665" w:type="pct"/>
            <w:tcBorders>
              <w:top w:val="nil"/>
              <w:left w:val="nil"/>
              <w:bottom w:val="nil"/>
            </w:tcBorders>
            <w:noWrap/>
            <w:vAlign w:val="center"/>
            <w:hideMark/>
          </w:tcPr>
          <w:p w14:paraId="2EFE6DDA"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0</w:t>
            </w:r>
          </w:p>
        </w:tc>
        <w:tc>
          <w:tcPr>
            <w:tcW w:w="246" w:type="pct"/>
            <w:tcBorders>
              <w:top w:val="nil"/>
              <w:bottom w:val="nil"/>
            </w:tcBorders>
            <w:vAlign w:val="center"/>
          </w:tcPr>
          <w:p w14:paraId="71C92274"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noWrap/>
            <w:vAlign w:val="center"/>
            <w:hideMark/>
          </w:tcPr>
          <w:p w14:paraId="4C3BA95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5.63</w:t>
            </w:r>
          </w:p>
        </w:tc>
        <w:tc>
          <w:tcPr>
            <w:tcW w:w="646" w:type="pct"/>
            <w:tcBorders>
              <w:top w:val="nil"/>
              <w:bottom w:val="nil"/>
            </w:tcBorders>
            <w:noWrap/>
            <w:vAlign w:val="center"/>
            <w:hideMark/>
          </w:tcPr>
          <w:p w14:paraId="27DB2E91"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2.84</w:t>
            </w:r>
          </w:p>
        </w:tc>
        <w:tc>
          <w:tcPr>
            <w:tcW w:w="660" w:type="pct"/>
            <w:tcBorders>
              <w:top w:val="nil"/>
              <w:bottom w:val="nil"/>
            </w:tcBorders>
            <w:noWrap/>
            <w:vAlign w:val="center"/>
            <w:hideMark/>
          </w:tcPr>
          <w:p w14:paraId="1E96359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6.00</w:t>
            </w:r>
          </w:p>
        </w:tc>
        <w:tc>
          <w:tcPr>
            <w:tcW w:w="236" w:type="pct"/>
            <w:tcBorders>
              <w:top w:val="nil"/>
              <w:bottom w:val="nil"/>
            </w:tcBorders>
            <w:vAlign w:val="center"/>
          </w:tcPr>
          <w:p w14:paraId="03937FB6"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vAlign w:val="center"/>
          </w:tcPr>
          <w:p w14:paraId="4C971B05"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7.47</w:t>
            </w:r>
          </w:p>
        </w:tc>
        <w:tc>
          <w:tcPr>
            <w:tcW w:w="646" w:type="pct"/>
            <w:tcBorders>
              <w:top w:val="nil"/>
              <w:bottom w:val="nil"/>
            </w:tcBorders>
            <w:vAlign w:val="center"/>
          </w:tcPr>
          <w:p w14:paraId="5BF4679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2.48</w:t>
            </w:r>
          </w:p>
        </w:tc>
        <w:tc>
          <w:tcPr>
            <w:tcW w:w="610" w:type="pct"/>
            <w:tcBorders>
              <w:top w:val="nil"/>
              <w:bottom w:val="nil"/>
            </w:tcBorders>
            <w:vAlign w:val="center"/>
          </w:tcPr>
          <w:p w14:paraId="4A37888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8.00</w:t>
            </w:r>
          </w:p>
        </w:tc>
      </w:tr>
      <w:tr w:rsidR="00DB7E60" w:rsidRPr="00150B28" w14:paraId="47E5EAB4" w14:textId="77777777" w:rsidTr="00CF36B9">
        <w:trPr>
          <w:trHeight w:val="283"/>
          <w:jc w:val="center"/>
        </w:trPr>
        <w:tc>
          <w:tcPr>
            <w:tcW w:w="665" w:type="pct"/>
            <w:tcBorders>
              <w:top w:val="nil"/>
              <w:left w:val="nil"/>
              <w:bottom w:val="nil"/>
            </w:tcBorders>
            <w:noWrap/>
            <w:vAlign w:val="center"/>
            <w:hideMark/>
          </w:tcPr>
          <w:p w14:paraId="0802240C"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1</w:t>
            </w:r>
          </w:p>
        </w:tc>
        <w:tc>
          <w:tcPr>
            <w:tcW w:w="246" w:type="pct"/>
            <w:tcBorders>
              <w:top w:val="nil"/>
              <w:bottom w:val="nil"/>
            </w:tcBorders>
            <w:vAlign w:val="center"/>
          </w:tcPr>
          <w:p w14:paraId="552D90B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noWrap/>
            <w:vAlign w:val="center"/>
            <w:hideMark/>
          </w:tcPr>
          <w:p w14:paraId="50148FD8"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4.82</w:t>
            </w:r>
          </w:p>
        </w:tc>
        <w:tc>
          <w:tcPr>
            <w:tcW w:w="646" w:type="pct"/>
            <w:tcBorders>
              <w:top w:val="nil"/>
              <w:bottom w:val="nil"/>
            </w:tcBorders>
            <w:noWrap/>
            <w:vAlign w:val="center"/>
            <w:hideMark/>
          </w:tcPr>
          <w:p w14:paraId="3FDF3E7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3.10</w:t>
            </w:r>
          </w:p>
        </w:tc>
        <w:tc>
          <w:tcPr>
            <w:tcW w:w="660" w:type="pct"/>
            <w:tcBorders>
              <w:top w:val="nil"/>
              <w:bottom w:val="nil"/>
            </w:tcBorders>
            <w:noWrap/>
            <w:vAlign w:val="center"/>
            <w:hideMark/>
          </w:tcPr>
          <w:p w14:paraId="726D264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5.00</w:t>
            </w:r>
          </w:p>
        </w:tc>
        <w:tc>
          <w:tcPr>
            <w:tcW w:w="236" w:type="pct"/>
            <w:tcBorders>
              <w:top w:val="nil"/>
              <w:bottom w:val="nil"/>
            </w:tcBorders>
            <w:vAlign w:val="center"/>
          </w:tcPr>
          <w:p w14:paraId="6061C4E9"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vAlign w:val="center"/>
          </w:tcPr>
          <w:p w14:paraId="21CC0021"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6.51</w:t>
            </w:r>
          </w:p>
        </w:tc>
        <w:tc>
          <w:tcPr>
            <w:tcW w:w="646" w:type="pct"/>
            <w:tcBorders>
              <w:top w:val="nil"/>
              <w:bottom w:val="nil"/>
            </w:tcBorders>
            <w:vAlign w:val="center"/>
          </w:tcPr>
          <w:p w14:paraId="2A2DB187"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2.76</w:t>
            </w:r>
          </w:p>
        </w:tc>
        <w:tc>
          <w:tcPr>
            <w:tcW w:w="610" w:type="pct"/>
            <w:tcBorders>
              <w:top w:val="nil"/>
              <w:bottom w:val="nil"/>
            </w:tcBorders>
            <w:vAlign w:val="center"/>
          </w:tcPr>
          <w:p w14:paraId="36006315"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7.42</w:t>
            </w:r>
          </w:p>
        </w:tc>
      </w:tr>
      <w:tr w:rsidR="00DB7E60" w:rsidRPr="00150B28" w14:paraId="37ABB42B" w14:textId="77777777" w:rsidTr="00CF36B9">
        <w:trPr>
          <w:trHeight w:val="283"/>
          <w:jc w:val="center"/>
        </w:trPr>
        <w:tc>
          <w:tcPr>
            <w:tcW w:w="665" w:type="pct"/>
            <w:tcBorders>
              <w:top w:val="nil"/>
              <w:left w:val="nil"/>
              <w:bottom w:val="nil"/>
            </w:tcBorders>
            <w:noWrap/>
            <w:vAlign w:val="center"/>
            <w:hideMark/>
          </w:tcPr>
          <w:p w14:paraId="5A69DF92"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w:t>
            </w:r>
          </w:p>
        </w:tc>
        <w:tc>
          <w:tcPr>
            <w:tcW w:w="246" w:type="pct"/>
            <w:tcBorders>
              <w:top w:val="nil"/>
              <w:bottom w:val="nil"/>
            </w:tcBorders>
            <w:vAlign w:val="center"/>
          </w:tcPr>
          <w:p w14:paraId="2AB2B84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noWrap/>
            <w:vAlign w:val="center"/>
            <w:hideMark/>
          </w:tcPr>
          <w:p w14:paraId="25539C1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4.54</w:t>
            </w:r>
          </w:p>
        </w:tc>
        <w:tc>
          <w:tcPr>
            <w:tcW w:w="646" w:type="pct"/>
            <w:tcBorders>
              <w:top w:val="nil"/>
              <w:bottom w:val="nil"/>
            </w:tcBorders>
            <w:noWrap/>
            <w:vAlign w:val="center"/>
            <w:hideMark/>
          </w:tcPr>
          <w:p w14:paraId="1398B9B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3.23</w:t>
            </w:r>
          </w:p>
        </w:tc>
        <w:tc>
          <w:tcPr>
            <w:tcW w:w="660" w:type="pct"/>
            <w:tcBorders>
              <w:top w:val="nil"/>
              <w:bottom w:val="nil"/>
            </w:tcBorders>
            <w:noWrap/>
            <w:vAlign w:val="center"/>
            <w:hideMark/>
          </w:tcPr>
          <w:p w14:paraId="651A39C9"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4.00</w:t>
            </w:r>
          </w:p>
        </w:tc>
        <w:tc>
          <w:tcPr>
            <w:tcW w:w="236" w:type="pct"/>
            <w:tcBorders>
              <w:top w:val="nil"/>
              <w:bottom w:val="nil"/>
            </w:tcBorders>
            <w:vAlign w:val="center"/>
          </w:tcPr>
          <w:p w14:paraId="3A27C1B7"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vAlign w:val="center"/>
          </w:tcPr>
          <w:p w14:paraId="223F605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6.33</w:t>
            </w:r>
          </w:p>
        </w:tc>
        <w:tc>
          <w:tcPr>
            <w:tcW w:w="646" w:type="pct"/>
            <w:tcBorders>
              <w:top w:val="nil"/>
              <w:bottom w:val="nil"/>
            </w:tcBorders>
            <w:vAlign w:val="center"/>
          </w:tcPr>
          <w:p w14:paraId="745F17A2"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2.49</w:t>
            </w:r>
          </w:p>
        </w:tc>
        <w:tc>
          <w:tcPr>
            <w:tcW w:w="610" w:type="pct"/>
            <w:tcBorders>
              <w:top w:val="nil"/>
              <w:bottom w:val="nil"/>
            </w:tcBorders>
            <w:vAlign w:val="center"/>
          </w:tcPr>
          <w:p w14:paraId="7F1A86A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7.00</w:t>
            </w:r>
          </w:p>
        </w:tc>
      </w:tr>
      <w:tr w:rsidR="00DB7E60" w:rsidRPr="00150B28" w14:paraId="763FCCBC" w14:textId="77777777" w:rsidTr="00CF36B9">
        <w:trPr>
          <w:trHeight w:val="283"/>
          <w:jc w:val="center"/>
        </w:trPr>
        <w:tc>
          <w:tcPr>
            <w:tcW w:w="665" w:type="pct"/>
            <w:tcBorders>
              <w:top w:val="nil"/>
              <w:left w:val="nil"/>
              <w:bottom w:val="nil"/>
            </w:tcBorders>
            <w:noWrap/>
            <w:vAlign w:val="center"/>
            <w:hideMark/>
          </w:tcPr>
          <w:p w14:paraId="512B9BD4"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w:t>
            </w:r>
          </w:p>
        </w:tc>
        <w:tc>
          <w:tcPr>
            <w:tcW w:w="246" w:type="pct"/>
            <w:tcBorders>
              <w:top w:val="nil"/>
              <w:bottom w:val="nil"/>
            </w:tcBorders>
            <w:vAlign w:val="center"/>
          </w:tcPr>
          <w:p w14:paraId="1105F56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noWrap/>
            <w:vAlign w:val="center"/>
            <w:hideMark/>
          </w:tcPr>
          <w:p w14:paraId="2CA50F2C"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4.73</w:t>
            </w:r>
          </w:p>
        </w:tc>
        <w:tc>
          <w:tcPr>
            <w:tcW w:w="646" w:type="pct"/>
            <w:tcBorders>
              <w:top w:val="nil"/>
              <w:bottom w:val="nil"/>
            </w:tcBorders>
            <w:noWrap/>
            <w:vAlign w:val="center"/>
            <w:hideMark/>
          </w:tcPr>
          <w:p w14:paraId="5343C3C7"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2.92</w:t>
            </w:r>
          </w:p>
        </w:tc>
        <w:tc>
          <w:tcPr>
            <w:tcW w:w="660" w:type="pct"/>
            <w:tcBorders>
              <w:top w:val="nil"/>
              <w:bottom w:val="nil"/>
            </w:tcBorders>
            <w:noWrap/>
            <w:vAlign w:val="center"/>
            <w:hideMark/>
          </w:tcPr>
          <w:p w14:paraId="69BA9D5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5.00</w:t>
            </w:r>
          </w:p>
        </w:tc>
        <w:tc>
          <w:tcPr>
            <w:tcW w:w="236" w:type="pct"/>
            <w:tcBorders>
              <w:top w:val="nil"/>
              <w:bottom w:val="nil"/>
            </w:tcBorders>
            <w:vAlign w:val="center"/>
          </w:tcPr>
          <w:p w14:paraId="373393C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vAlign w:val="center"/>
          </w:tcPr>
          <w:p w14:paraId="50B8624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5.88</w:t>
            </w:r>
          </w:p>
        </w:tc>
        <w:tc>
          <w:tcPr>
            <w:tcW w:w="646" w:type="pct"/>
            <w:tcBorders>
              <w:top w:val="nil"/>
              <w:bottom w:val="nil"/>
            </w:tcBorders>
            <w:vAlign w:val="center"/>
          </w:tcPr>
          <w:p w14:paraId="4CA0023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3.06</w:t>
            </w:r>
          </w:p>
        </w:tc>
        <w:tc>
          <w:tcPr>
            <w:tcW w:w="610" w:type="pct"/>
            <w:tcBorders>
              <w:top w:val="nil"/>
              <w:bottom w:val="nil"/>
            </w:tcBorders>
            <w:vAlign w:val="center"/>
          </w:tcPr>
          <w:p w14:paraId="31827E9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7.20</w:t>
            </w:r>
          </w:p>
        </w:tc>
      </w:tr>
      <w:tr w:rsidR="00DB7E60" w:rsidRPr="00150B28" w14:paraId="58EB801F" w14:textId="77777777" w:rsidTr="00CF36B9">
        <w:trPr>
          <w:trHeight w:val="283"/>
          <w:jc w:val="center"/>
        </w:trPr>
        <w:tc>
          <w:tcPr>
            <w:tcW w:w="665" w:type="pct"/>
            <w:tcBorders>
              <w:top w:val="nil"/>
              <w:left w:val="nil"/>
              <w:bottom w:val="nil"/>
            </w:tcBorders>
            <w:noWrap/>
            <w:vAlign w:val="center"/>
            <w:hideMark/>
          </w:tcPr>
          <w:p w14:paraId="089E2CA1"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w:t>
            </w:r>
          </w:p>
        </w:tc>
        <w:tc>
          <w:tcPr>
            <w:tcW w:w="246" w:type="pct"/>
            <w:tcBorders>
              <w:top w:val="nil"/>
              <w:bottom w:val="nil"/>
            </w:tcBorders>
            <w:vAlign w:val="center"/>
          </w:tcPr>
          <w:p w14:paraId="3722D85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noWrap/>
            <w:vAlign w:val="center"/>
            <w:hideMark/>
          </w:tcPr>
          <w:p w14:paraId="4ED2F9E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4.05</w:t>
            </w:r>
          </w:p>
        </w:tc>
        <w:tc>
          <w:tcPr>
            <w:tcW w:w="646" w:type="pct"/>
            <w:tcBorders>
              <w:top w:val="nil"/>
              <w:bottom w:val="nil"/>
            </w:tcBorders>
            <w:noWrap/>
            <w:vAlign w:val="center"/>
            <w:hideMark/>
          </w:tcPr>
          <w:p w14:paraId="0ECA8491"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3.17</w:t>
            </w:r>
          </w:p>
        </w:tc>
        <w:tc>
          <w:tcPr>
            <w:tcW w:w="660" w:type="pct"/>
            <w:tcBorders>
              <w:top w:val="nil"/>
              <w:bottom w:val="nil"/>
            </w:tcBorders>
            <w:noWrap/>
            <w:vAlign w:val="center"/>
            <w:hideMark/>
          </w:tcPr>
          <w:p w14:paraId="0A4C5A2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3.00</w:t>
            </w:r>
          </w:p>
        </w:tc>
        <w:tc>
          <w:tcPr>
            <w:tcW w:w="236" w:type="pct"/>
            <w:tcBorders>
              <w:top w:val="nil"/>
              <w:bottom w:val="nil"/>
            </w:tcBorders>
            <w:vAlign w:val="center"/>
          </w:tcPr>
          <w:p w14:paraId="2E2AB1AE"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vAlign w:val="center"/>
          </w:tcPr>
          <w:p w14:paraId="36EF2632"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5.33</w:t>
            </w:r>
          </w:p>
        </w:tc>
        <w:tc>
          <w:tcPr>
            <w:tcW w:w="646" w:type="pct"/>
            <w:tcBorders>
              <w:top w:val="nil"/>
              <w:bottom w:val="nil"/>
            </w:tcBorders>
            <w:vAlign w:val="center"/>
          </w:tcPr>
          <w:p w14:paraId="0F9918A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4.16</w:t>
            </w:r>
          </w:p>
        </w:tc>
        <w:tc>
          <w:tcPr>
            <w:tcW w:w="610" w:type="pct"/>
            <w:tcBorders>
              <w:top w:val="nil"/>
              <w:bottom w:val="nil"/>
            </w:tcBorders>
            <w:vAlign w:val="center"/>
          </w:tcPr>
          <w:p w14:paraId="7F541D0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4.00</w:t>
            </w:r>
          </w:p>
        </w:tc>
      </w:tr>
      <w:tr w:rsidR="00DB7E60" w:rsidRPr="00150B28" w14:paraId="12AA5AF1" w14:textId="77777777" w:rsidTr="00CF36B9">
        <w:trPr>
          <w:trHeight w:val="283"/>
          <w:jc w:val="center"/>
        </w:trPr>
        <w:tc>
          <w:tcPr>
            <w:tcW w:w="665" w:type="pct"/>
            <w:tcBorders>
              <w:top w:val="nil"/>
              <w:left w:val="nil"/>
            </w:tcBorders>
            <w:noWrap/>
            <w:vAlign w:val="center"/>
            <w:hideMark/>
          </w:tcPr>
          <w:p w14:paraId="5D9EFD9A"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w:t>
            </w:r>
          </w:p>
        </w:tc>
        <w:tc>
          <w:tcPr>
            <w:tcW w:w="246" w:type="pct"/>
            <w:tcBorders>
              <w:top w:val="nil"/>
            </w:tcBorders>
            <w:vAlign w:val="center"/>
          </w:tcPr>
          <w:p w14:paraId="3773DCB4"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tcBorders>
            <w:noWrap/>
            <w:vAlign w:val="center"/>
            <w:hideMark/>
          </w:tcPr>
          <w:p w14:paraId="72E6C479"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3.8</w:t>
            </w:r>
          </w:p>
        </w:tc>
        <w:tc>
          <w:tcPr>
            <w:tcW w:w="646" w:type="pct"/>
            <w:tcBorders>
              <w:top w:val="nil"/>
            </w:tcBorders>
            <w:noWrap/>
            <w:vAlign w:val="center"/>
            <w:hideMark/>
          </w:tcPr>
          <w:p w14:paraId="1A0C430E"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3.63</w:t>
            </w:r>
          </w:p>
        </w:tc>
        <w:tc>
          <w:tcPr>
            <w:tcW w:w="660" w:type="pct"/>
            <w:tcBorders>
              <w:top w:val="nil"/>
            </w:tcBorders>
            <w:noWrap/>
            <w:vAlign w:val="center"/>
            <w:hideMark/>
          </w:tcPr>
          <w:p w14:paraId="6375358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1.90</w:t>
            </w:r>
          </w:p>
        </w:tc>
        <w:tc>
          <w:tcPr>
            <w:tcW w:w="236" w:type="pct"/>
            <w:tcBorders>
              <w:top w:val="nil"/>
            </w:tcBorders>
            <w:vAlign w:val="center"/>
          </w:tcPr>
          <w:p w14:paraId="2293FDF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tcBorders>
            <w:vAlign w:val="center"/>
          </w:tcPr>
          <w:p w14:paraId="22820EB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4.5</w:t>
            </w:r>
          </w:p>
        </w:tc>
        <w:tc>
          <w:tcPr>
            <w:tcW w:w="646" w:type="pct"/>
            <w:tcBorders>
              <w:top w:val="nil"/>
            </w:tcBorders>
            <w:vAlign w:val="center"/>
          </w:tcPr>
          <w:p w14:paraId="727A9E1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2.82</w:t>
            </w:r>
          </w:p>
        </w:tc>
        <w:tc>
          <w:tcPr>
            <w:tcW w:w="610" w:type="pct"/>
            <w:tcBorders>
              <w:top w:val="nil"/>
            </w:tcBorders>
            <w:vAlign w:val="center"/>
          </w:tcPr>
          <w:p w14:paraId="650F2FD1"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4.50</w:t>
            </w:r>
          </w:p>
        </w:tc>
      </w:tr>
      <w:tr w:rsidR="00DB7E60" w:rsidRPr="00150B28" w14:paraId="60D4B2D9" w14:textId="77777777" w:rsidTr="00CF36B9">
        <w:trPr>
          <w:trHeight w:val="283"/>
          <w:jc w:val="center"/>
        </w:trPr>
        <w:tc>
          <w:tcPr>
            <w:tcW w:w="665" w:type="pct"/>
            <w:tcBorders>
              <w:top w:val="nil"/>
              <w:left w:val="nil"/>
              <w:bottom w:val="single" w:sz="12" w:space="0" w:color="auto"/>
            </w:tcBorders>
            <w:noWrap/>
            <w:vAlign w:val="center"/>
            <w:hideMark/>
          </w:tcPr>
          <w:p w14:paraId="2C6F864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6</w:t>
            </w:r>
          </w:p>
        </w:tc>
        <w:tc>
          <w:tcPr>
            <w:tcW w:w="246" w:type="pct"/>
            <w:tcBorders>
              <w:top w:val="nil"/>
              <w:bottom w:val="single" w:sz="12" w:space="0" w:color="auto"/>
            </w:tcBorders>
            <w:vAlign w:val="center"/>
          </w:tcPr>
          <w:p w14:paraId="4D7E0FA7"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single" w:sz="12" w:space="0" w:color="auto"/>
            </w:tcBorders>
            <w:noWrap/>
            <w:vAlign w:val="center"/>
            <w:hideMark/>
          </w:tcPr>
          <w:p w14:paraId="782B61AA"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3.56</w:t>
            </w:r>
          </w:p>
        </w:tc>
        <w:tc>
          <w:tcPr>
            <w:tcW w:w="646" w:type="pct"/>
            <w:tcBorders>
              <w:top w:val="nil"/>
              <w:bottom w:val="single" w:sz="12" w:space="0" w:color="auto"/>
            </w:tcBorders>
            <w:noWrap/>
            <w:vAlign w:val="center"/>
            <w:hideMark/>
          </w:tcPr>
          <w:p w14:paraId="334EBB75"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1.05</w:t>
            </w:r>
          </w:p>
        </w:tc>
        <w:tc>
          <w:tcPr>
            <w:tcW w:w="660" w:type="pct"/>
            <w:tcBorders>
              <w:top w:val="nil"/>
              <w:bottom w:val="single" w:sz="12" w:space="0" w:color="auto"/>
            </w:tcBorders>
            <w:noWrap/>
            <w:vAlign w:val="center"/>
            <w:hideMark/>
          </w:tcPr>
          <w:p w14:paraId="6E7A455A"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3.75</w:t>
            </w:r>
          </w:p>
        </w:tc>
        <w:tc>
          <w:tcPr>
            <w:tcW w:w="236" w:type="pct"/>
            <w:tcBorders>
              <w:top w:val="nil"/>
              <w:bottom w:val="single" w:sz="12" w:space="0" w:color="auto"/>
            </w:tcBorders>
            <w:vAlign w:val="center"/>
          </w:tcPr>
          <w:p w14:paraId="63C38355"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single" w:sz="12" w:space="0" w:color="auto"/>
            </w:tcBorders>
            <w:vAlign w:val="center"/>
          </w:tcPr>
          <w:p w14:paraId="5E92349C"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w:t>
            </w:r>
          </w:p>
        </w:tc>
        <w:tc>
          <w:tcPr>
            <w:tcW w:w="646" w:type="pct"/>
            <w:tcBorders>
              <w:top w:val="nil"/>
              <w:bottom w:val="single" w:sz="12" w:space="0" w:color="auto"/>
            </w:tcBorders>
            <w:vAlign w:val="center"/>
          </w:tcPr>
          <w:p w14:paraId="29F9319F"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w:t>
            </w:r>
          </w:p>
        </w:tc>
        <w:tc>
          <w:tcPr>
            <w:tcW w:w="610" w:type="pct"/>
            <w:tcBorders>
              <w:top w:val="nil"/>
              <w:bottom w:val="single" w:sz="12" w:space="0" w:color="auto"/>
            </w:tcBorders>
            <w:vAlign w:val="center"/>
          </w:tcPr>
          <w:p w14:paraId="57F15848"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w:t>
            </w:r>
          </w:p>
        </w:tc>
      </w:tr>
    </w:tbl>
    <w:p w14:paraId="0DF1C04D" w14:textId="68B7D432" w:rsidR="00FA087C" w:rsidRPr="00150B28" w:rsidRDefault="00FA087C"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Fuente: Elaboración propia.</w:t>
      </w:r>
    </w:p>
    <w:p w14:paraId="0DA0BF56" w14:textId="0E6B0EF2" w:rsidR="00DB7E60" w:rsidRPr="00150B28" w:rsidRDefault="00DB7E60" w:rsidP="007F0B51">
      <w:pPr>
        <w:tabs>
          <w:tab w:val="left" w:pos="2570"/>
        </w:tabs>
        <w:spacing w:after="0" w:line="240" w:lineRule="auto"/>
        <w:jc w:val="both"/>
        <w:rPr>
          <w:rFonts w:asciiTheme="majorHAnsi" w:hAnsiTheme="majorHAnsi" w:cstheme="majorHAnsi"/>
          <w:bCs/>
          <w:szCs w:val="24"/>
        </w:rPr>
      </w:pPr>
    </w:p>
    <w:p w14:paraId="7BA66B09" w14:textId="77777777" w:rsidR="00FA087C" w:rsidRPr="00150B28" w:rsidRDefault="00FA087C" w:rsidP="007F0B51">
      <w:pPr>
        <w:pStyle w:val="Textoindependiente"/>
        <w:tabs>
          <w:tab w:val="left" w:pos="1111"/>
          <w:tab w:val="left" w:pos="4645"/>
        </w:tabs>
        <w:spacing w:after="0" w:line="240" w:lineRule="auto"/>
        <w:ind w:right="906"/>
        <w:jc w:val="both"/>
        <w:rPr>
          <w:rFonts w:asciiTheme="majorHAnsi" w:hAnsiTheme="majorHAnsi" w:cstheme="majorHAnsi"/>
          <w:b/>
          <w:bCs/>
          <w:szCs w:val="24"/>
        </w:rPr>
      </w:pPr>
      <w:r w:rsidRPr="00150B28">
        <w:rPr>
          <w:rFonts w:asciiTheme="majorHAnsi" w:hAnsiTheme="majorHAnsi" w:cstheme="majorHAnsi"/>
          <w:b/>
          <w:bCs/>
          <w:szCs w:val="24"/>
        </w:rPr>
        <w:t>Análisis inferencial.</w:t>
      </w:r>
    </w:p>
    <w:p w14:paraId="3A652A9C" w14:textId="2D5DD4DE" w:rsidR="00FA087C" w:rsidRDefault="00FA087C" w:rsidP="007F0B51">
      <w:pPr>
        <w:pStyle w:val="Textoindependiente"/>
        <w:spacing w:after="0" w:line="240" w:lineRule="auto"/>
        <w:jc w:val="both"/>
        <w:rPr>
          <w:rFonts w:asciiTheme="majorHAnsi" w:hAnsiTheme="majorHAnsi" w:cstheme="majorHAnsi"/>
          <w:szCs w:val="24"/>
        </w:rPr>
      </w:pPr>
      <w:r w:rsidRPr="00150B28">
        <w:rPr>
          <w:rFonts w:asciiTheme="majorHAnsi" w:hAnsiTheme="majorHAnsi" w:cstheme="majorHAnsi"/>
          <w:szCs w:val="24"/>
        </w:rPr>
        <w:t>Se realizan pruebas de hipótesis de Mann Whitney de una cola (α=0.05) para evaluar si la calificación de los sujetos con nivel de ansiedad cero en todas las dimensiones (combinación de la primera fila en Tabla 1), es significativamente mayor que aquellos que tienen un nivel de ansiedad</w:t>
      </w:r>
      <w:r w:rsidR="000B727E" w:rsidRPr="00150B28">
        <w:rPr>
          <w:rFonts w:asciiTheme="majorHAnsi" w:hAnsiTheme="majorHAnsi" w:cstheme="majorHAnsi"/>
          <w:szCs w:val="24"/>
        </w:rPr>
        <w:t xml:space="preserve"> por preocupación (combinación de la segunda fila en Tabla 1)</w:t>
      </w:r>
      <w:r w:rsidRPr="00150B28">
        <w:rPr>
          <w:rFonts w:asciiTheme="majorHAnsi" w:hAnsiTheme="majorHAnsi" w:cstheme="majorHAnsi"/>
          <w:szCs w:val="24"/>
        </w:rPr>
        <w:t xml:space="preserve">. Los resultados se muestran en la Tabla 3. </w:t>
      </w:r>
    </w:p>
    <w:p w14:paraId="34917211" w14:textId="77777777" w:rsidR="00C86EDA" w:rsidRPr="00150B28" w:rsidRDefault="00C86EDA" w:rsidP="007F0B51">
      <w:pPr>
        <w:pStyle w:val="Textoindependiente"/>
        <w:spacing w:after="0" w:line="240" w:lineRule="auto"/>
        <w:jc w:val="both"/>
        <w:rPr>
          <w:rFonts w:asciiTheme="majorHAnsi" w:hAnsiTheme="majorHAnsi" w:cstheme="majorHAnsi"/>
          <w:szCs w:val="24"/>
        </w:rPr>
      </w:pPr>
    </w:p>
    <w:p w14:paraId="6EC3D12B" w14:textId="62CD4DC1" w:rsidR="00F05296" w:rsidRPr="00150B28" w:rsidRDefault="00F05296" w:rsidP="007F0B51">
      <w:pPr>
        <w:spacing w:after="0" w:line="240" w:lineRule="auto"/>
        <w:jc w:val="center"/>
        <w:rPr>
          <w:rFonts w:asciiTheme="majorHAnsi" w:hAnsiTheme="majorHAnsi" w:cstheme="majorHAnsi"/>
          <w:bCs/>
          <w:szCs w:val="24"/>
        </w:rPr>
      </w:pPr>
      <w:r w:rsidRPr="00150B28">
        <w:rPr>
          <w:rFonts w:asciiTheme="majorHAnsi" w:hAnsiTheme="majorHAnsi" w:cstheme="majorHAnsi"/>
          <w:bCs/>
          <w:szCs w:val="24"/>
        </w:rPr>
        <w:t xml:space="preserve">Tabla </w:t>
      </w:r>
      <w:r w:rsidR="004316A3" w:rsidRPr="00150B28">
        <w:rPr>
          <w:rFonts w:asciiTheme="majorHAnsi" w:hAnsiTheme="majorHAnsi" w:cstheme="majorHAnsi"/>
          <w:bCs/>
          <w:szCs w:val="24"/>
        </w:rPr>
        <w:t>3</w:t>
      </w:r>
      <w:r w:rsidRPr="00150B28">
        <w:rPr>
          <w:rFonts w:asciiTheme="majorHAnsi" w:hAnsiTheme="majorHAnsi" w:cstheme="majorHAnsi"/>
          <w:bCs/>
          <w:szCs w:val="24"/>
        </w:rPr>
        <w:t>:</w:t>
      </w:r>
      <w:r w:rsidRPr="00150B28">
        <w:rPr>
          <w:rFonts w:asciiTheme="majorHAnsi" w:hAnsiTheme="majorHAnsi" w:cstheme="majorHAnsi"/>
          <w:szCs w:val="24"/>
        </w:rPr>
        <w:t xml:space="preserve"> Pruebas de Mann Whitney.</w:t>
      </w:r>
    </w:p>
    <w:tbl>
      <w:tblPr>
        <w:tblW w:w="4686" w:type="pct"/>
        <w:tblCellMar>
          <w:left w:w="70" w:type="dxa"/>
          <w:right w:w="70" w:type="dxa"/>
        </w:tblCellMar>
        <w:tblLook w:val="04A0" w:firstRow="1" w:lastRow="0" w:firstColumn="1" w:lastColumn="0" w:noHBand="0" w:noVBand="1"/>
      </w:tblPr>
      <w:tblGrid>
        <w:gridCol w:w="2242"/>
        <w:gridCol w:w="168"/>
        <w:gridCol w:w="1005"/>
        <w:gridCol w:w="775"/>
        <w:gridCol w:w="1848"/>
        <w:gridCol w:w="168"/>
        <w:gridCol w:w="1005"/>
        <w:gridCol w:w="775"/>
        <w:gridCol w:w="1461"/>
      </w:tblGrid>
      <w:tr w:rsidR="00FA087C" w:rsidRPr="00150B28" w14:paraId="11B1BB85" w14:textId="77777777" w:rsidTr="00FA087C">
        <w:trPr>
          <w:trHeight w:val="283"/>
        </w:trPr>
        <w:tc>
          <w:tcPr>
            <w:tcW w:w="1187" w:type="pct"/>
            <w:vMerge w:val="restart"/>
            <w:tcBorders>
              <w:top w:val="single" w:sz="12" w:space="0" w:color="auto"/>
              <w:left w:val="nil"/>
              <w:bottom w:val="single" w:sz="12" w:space="0" w:color="auto"/>
              <w:right w:val="nil"/>
            </w:tcBorders>
            <w:vAlign w:val="center"/>
            <w:hideMark/>
          </w:tcPr>
          <w:p w14:paraId="737DF804"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COMPARACION DE GRUPOS</w:t>
            </w:r>
          </w:p>
        </w:tc>
        <w:tc>
          <w:tcPr>
            <w:tcW w:w="89" w:type="pct"/>
            <w:tcBorders>
              <w:top w:val="single" w:sz="12" w:space="0" w:color="auto"/>
              <w:left w:val="nil"/>
              <w:bottom w:val="nil"/>
              <w:right w:val="nil"/>
            </w:tcBorders>
            <w:vAlign w:val="center"/>
          </w:tcPr>
          <w:p w14:paraId="42A0A7D7"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1919" w:type="pct"/>
            <w:gridSpan w:val="3"/>
            <w:tcBorders>
              <w:top w:val="single" w:sz="12" w:space="0" w:color="auto"/>
              <w:left w:val="nil"/>
              <w:bottom w:val="single" w:sz="6" w:space="0" w:color="auto"/>
              <w:right w:val="nil"/>
            </w:tcBorders>
            <w:noWrap/>
            <w:vAlign w:val="center"/>
            <w:hideMark/>
          </w:tcPr>
          <w:p w14:paraId="2853BCA6" w14:textId="77777777" w:rsidR="00FA087C" w:rsidRPr="00150B28" w:rsidRDefault="00FA087C"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1° SEMESTRE</w:t>
            </w:r>
          </w:p>
        </w:tc>
        <w:tc>
          <w:tcPr>
            <w:tcW w:w="89" w:type="pct"/>
            <w:tcBorders>
              <w:top w:val="single" w:sz="12" w:space="0" w:color="auto"/>
              <w:left w:val="nil"/>
              <w:bottom w:val="nil"/>
              <w:right w:val="nil"/>
            </w:tcBorders>
            <w:vAlign w:val="center"/>
          </w:tcPr>
          <w:p w14:paraId="2F78E21B"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1716" w:type="pct"/>
            <w:gridSpan w:val="3"/>
            <w:tcBorders>
              <w:top w:val="single" w:sz="12" w:space="0" w:color="auto"/>
              <w:left w:val="nil"/>
              <w:bottom w:val="single" w:sz="6" w:space="0" w:color="auto"/>
              <w:right w:val="nil"/>
            </w:tcBorders>
            <w:vAlign w:val="center"/>
            <w:hideMark/>
          </w:tcPr>
          <w:p w14:paraId="4B86E952" w14:textId="77777777" w:rsidR="00FA087C" w:rsidRPr="00150B28" w:rsidRDefault="00FA087C"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2° SEMESTRE</w:t>
            </w:r>
          </w:p>
        </w:tc>
      </w:tr>
      <w:tr w:rsidR="00FA087C" w:rsidRPr="00150B28" w14:paraId="45952FD2" w14:textId="77777777" w:rsidTr="00FA087C">
        <w:trPr>
          <w:trHeight w:val="156"/>
        </w:trPr>
        <w:tc>
          <w:tcPr>
            <w:tcW w:w="0" w:type="auto"/>
            <w:vMerge/>
            <w:tcBorders>
              <w:top w:val="single" w:sz="12" w:space="0" w:color="auto"/>
              <w:left w:val="nil"/>
              <w:bottom w:val="single" w:sz="12" w:space="0" w:color="auto"/>
              <w:right w:val="nil"/>
            </w:tcBorders>
            <w:vAlign w:val="center"/>
            <w:hideMark/>
          </w:tcPr>
          <w:p w14:paraId="6A7390CA"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89" w:type="pct"/>
            <w:vAlign w:val="center"/>
          </w:tcPr>
          <w:p w14:paraId="6E868D6A"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532" w:type="pct"/>
            <w:tcBorders>
              <w:top w:val="single" w:sz="6" w:space="0" w:color="auto"/>
              <w:left w:val="nil"/>
              <w:bottom w:val="single" w:sz="12" w:space="0" w:color="auto"/>
              <w:right w:val="nil"/>
            </w:tcBorders>
            <w:noWrap/>
            <w:vAlign w:val="center"/>
            <w:hideMark/>
          </w:tcPr>
          <w:p w14:paraId="3AEC1B43" w14:textId="77777777" w:rsidR="00FA087C" w:rsidRPr="00150B28" w:rsidRDefault="00FA087C"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p</w:t>
            </w:r>
          </w:p>
        </w:tc>
        <w:tc>
          <w:tcPr>
            <w:tcW w:w="410" w:type="pct"/>
            <w:tcBorders>
              <w:top w:val="single" w:sz="6" w:space="0" w:color="auto"/>
              <w:left w:val="nil"/>
              <w:bottom w:val="single" w:sz="12" w:space="0" w:color="auto"/>
              <w:right w:val="nil"/>
            </w:tcBorders>
            <w:vAlign w:val="center"/>
            <w:hideMark/>
          </w:tcPr>
          <w:p w14:paraId="0EDEA7A5" w14:textId="77777777" w:rsidR="00FA087C" w:rsidRPr="00150B28" w:rsidRDefault="00FA087C" w:rsidP="007F0B51">
            <w:pPr>
              <w:pStyle w:val="Textoindependiente"/>
              <w:spacing w:after="0" w:line="240" w:lineRule="auto"/>
              <w:rPr>
                <w:rFonts w:asciiTheme="majorHAnsi" w:hAnsiTheme="majorHAnsi" w:cstheme="majorHAnsi"/>
                <w:szCs w:val="24"/>
              </w:rPr>
            </w:pPr>
            <m:oMathPara>
              <m:oMath>
                <m:r>
                  <w:rPr>
                    <w:rFonts w:ascii="Cambria Math" w:hAnsi="Cambria Math" w:cstheme="majorHAnsi"/>
                    <w:szCs w:val="24"/>
                  </w:rPr>
                  <m:t>U</m:t>
                </m:r>
              </m:oMath>
            </m:oMathPara>
          </w:p>
        </w:tc>
        <w:tc>
          <w:tcPr>
            <w:tcW w:w="978" w:type="pct"/>
            <w:tcBorders>
              <w:top w:val="single" w:sz="6" w:space="0" w:color="auto"/>
              <w:left w:val="nil"/>
              <w:bottom w:val="single" w:sz="12" w:space="0" w:color="auto"/>
              <w:right w:val="nil"/>
            </w:tcBorders>
            <w:vAlign w:val="center"/>
            <w:hideMark/>
          </w:tcPr>
          <w:p w14:paraId="0ED2114D"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SUMA DE RANGOS</w:t>
            </w:r>
          </w:p>
        </w:tc>
        <w:tc>
          <w:tcPr>
            <w:tcW w:w="89" w:type="pct"/>
            <w:vAlign w:val="center"/>
          </w:tcPr>
          <w:p w14:paraId="2BEE7ED5"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532" w:type="pct"/>
            <w:tcBorders>
              <w:top w:val="single" w:sz="6" w:space="0" w:color="auto"/>
              <w:left w:val="nil"/>
              <w:bottom w:val="single" w:sz="12" w:space="0" w:color="auto"/>
              <w:right w:val="nil"/>
            </w:tcBorders>
            <w:vAlign w:val="center"/>
            <w:hideMark/>
          </w:tcPr>
          <w:p w14:paraId="77846C45"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p</w:t>
            </w:r>
          </w:p>
        </w:tc>
        <w:tc>
          <w:tcPr>
            <w:tcW w:w="410" w:type="pct"/>
            <w:tcBorders>
              <w:top w:val="single" w:sz="6" w:space="0" w:color="auto"/>
              <w:left w:val="nil"/>
              <w:bottom w:val="single" w:sz="12" w:space="0" w:color="auto"/>
              <w:right w:val="nil"/>
            </w:tcBorders>
            <w:vAlign w:val="center"/>
            <w:hideMark/>
          </w:tcPr>
          <w:p w14:paraId="2E3A8A6E" w14:textId="77777777" w:rsidR="00FA087C" w:rsidRPr="00150B28" w:rsidRDefault="00FA087C" w:rsidP="007F0B51">
            <w:pPr>
              <w:pStyle w:val="Textoindependiente"/>
              <w:spacing w:after="0" w:line="240" w:lineRule="auto"/>
              <w:rPr>
                <w:rFonts w:asciiTheme="majorHAnsi" w:hAnsiTheme="majorHAnsi" w:cstheme="majorHAnsi"/>
                <w:szCs w:val="24"/>
              </w:rPr>
            </w:pPr>
            <m:oMathPara>
              <m:oMath>
                <m:r>
                  <w:rPr>
                    <w:rFonts w:ascii="Cambria Math" w:hAnsi="Cambria Math" w:cstheme="majorHAnsi"/>
                    <w:szCs w:val="24"/>
                  </w:rPr>
                  <m:t>U</m:t>
                </m:r>
              </m:oMath>
            </m:oMathPara>
          </w:p>
        </w:tc>
        <w:tc>
          <w:tcPr>
            <w:tcW w:w="775" w:type="pct"/>
            <w:tcBorders>
              <w:top w:val="single" w:sz="6" w:space="0" w:color="auto"/>
              <w:left w:val="nil"/>
              <w:bottom w:val="single" w:sz="12" w:space="0" w:color="auto"/>
              <w:right w:val="nil"/>
            </w:tcBorders>
            <w:vAlign w:val="center"/>
            <w:hideMark/>
          </w:tcPr>
          <w:p w14:paraId="16DD5F14"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SUMA DE RANGOS</w:t>
            </w:r>
          </w:p>
        </w:tc>
      </w:tr>
      <w:tr w:rsidR="00FA087C" w:rsidRPr="00150B28" w14:paraId="2AD13848" w14:textId="77777777" w:rsidTr="00FA087C">
        <w:trPr>
          <w:trHeight w:val="283"/>
        </w:trPr>
        <w:tc>
          <w:tcPr>
            <w:tcW w:w="1187" w:type="pct"/>
            <w:tcBorders>
              <w:top w:val="nil"/>
              <w:left w:val="nil"/>
              <w:bottom w:val="single" w:sz="12" w:space="0" w:color="auto"/>
              <w:right w:val="nil"/>
            </w:tcBorders>
            <w:noWrap/>
            <w:vAlign w:val="center"/>
            <w:hideMark/>
          </w:tcPr>
          <w:p w14:paraId="075875EA"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BBB VS BBM</w:t>
            </w:r>
          </w:p>
        </w:tc>
        <w:tc>
          <w:tcPr>
            <w:tcW w:w="89" w:type="pct"/>
            <w:tcBorders>
              <w:top w:val="nil"/>
              <w:left w:val="nil"/>
              <w:bottom w:val="single" w:sz="12" w:space="0" w:color="auto"/>
              <w:right w:val="nil"/>
            </w:tcBorders>
            <w:vAlign w:val="center"/>
          </w:tcPr>
          <w:p w14:paraId="67B057B0"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532" w:type="pct"/>
            <w:tcBorders>
              <w:top w:val="nil"/>
              <w:left w:val="nil"/>
              <w:bottom w:val="single" w:sz="12" w:space="0" w:color="auto"/>
              <w:right w:val="nil"/>
            </w:tcBorders>
            <w:noWrap/>
            <w:vAlign w:val="center"/>
          </w:tcPr>
          <w:p w14:paraId="7320F84A"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0.0151</w:t>
            </w:r>
          </w:p>
        </w:tc>
        <w:tc>
          <w:tcPr>
            <w:tcW w:w="410" w:type="pct"/>
            <w:tcBorders>
              <w:top w:val="nil"/>
              <w:left w:val="nil"/>
              <w:bottom w:val="single" w:sz="12" w:space="0" w:color="auto"/>
              <w:right w:val="nil"/>
            </w:tcBorders>
            <w:noWrap/>
            <w:vAlign w:val="center"/>
          </w:tcPr>
          <w:p w14:paraId="52E22AAA"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8002</w:t>
            </w:r>
          </w:p>
        </w:tc>
        <w:tc>
          <w:tcPr>
            <w:tcW w:w="978" w:type="pct"/>
            <w:tcBorders>
              <w:top w:val="nil"/>
              <w:left w:val="nil"/>
              <w:bottom w:val="single" w:sz="12" w:space="0" w:color="auto"/>
              <w:right w:val="nil"/>
            </w:tcBorders>
            <w:noWrap/>
            <w:vAlign w:val="center"/>
          </w:tcPr>
          <w:p w14:paraId="498B984B"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36238, 11657</w:t>
            </w:r>
          </w:p>
        </w:tc>
        <w:tc>
          <w:tcPr>
            <w:tcW w:w="89" w:type="pct"/>
            <w:tcBorders>
              <w:top w:val="nil"/>
              <w:left w:val="nil"/>
              <w:bottom w:val="single" w:sz="12" w:space="0" w:color="auto"/>
              <w:right w:val="nil"/>
            </w:tcBorders>
            <w:vAlign w:val="center"/>
          </w:tcPr>
          <w:p w14:paraId="0B5E5B9A"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532" w:type="pct"/>
            <w:tcBorders>
              <w:top w:val="nil"/>
              <w:left w:val="nil"/>
              <w:bottom w:val="single" w:sz="12" w:space="0" w:color="auto"/>
              <w:right w:val="nil"/>
            </w:tcBorders>
            <w:vAlign w:val="center"/>
          </w:tcPr>
          <w:p w14:paraId="3DECDB11"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0.0646</w:t>
            </w:r>
          </w:p>
        </w:tc>
        <w:tc>
          <w:tcPr>
            <w:tcW w:w="410" w:type="pct"/>
            <w:tcBorders>
              <w:top w:val="nil"/>
              <w:left w:val="nil"/>
              <w:bottom w:val="single" w:sz="12" w:space="0" w:color="auto"/>
              <w:right w:val="nil"/>
            </w:tcBorders>
            <w:vAlign w:val="center"/>
          </w:tcPr>
          <w:p w14:paraId="429CF6E3"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1246</w:t>
            </w:r>
          </w:p>
        </w:tc>
        <w:tc>
          <w:tcPr>
            <w:tcW w:w="775" w:type="pct"/>
            <w:tcBorders>
              <w:top w:val="nil"/>
              <w:left w:val="nil"/>
              <w:bottom w:val="single" w:sz="12" w:space="0" w:color="auto"/>
              <w:right w:val="nil"/>
            </w:tcBorders>
            <w:vAlign w:val="center"/>
          </w:tcPr>
          <w:p w14:paraId="1AB848E5"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5785,1841</w:t>
            </w:r>
          </w:p>
        </w:tc>
      </w:tr>
    </w:tbl>
    <w:p w14:paraId="683CD5D9" w14:textId="77777777" w:rsidR="00FA087C" w:rsidRPr="00150B28" w:rsidRDefault="00FA087C"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Fuente: Elaboración propia.</w:t>
      </w:r>
    </w:p>
    <w:p w14:paraId="3BB075DD" w14:textId="77777777" w:rsidR="00FA087C" w:rsidRPr="00150B28" w:rsidRDefault="00FA087C" w:rsidP="007F0B51">
      <w:pPr>
        <w:spacing w:after="0" w:line="240" w:lineRule="auto"/>
        <w:jc w:val="both"/>
        <w:rPr>
          <w:rFonts w:asciiTheme="majorHAnsi" w:hAnsiTheme="majorHAnsi" w:cstheme="majorHAnsi"/>
          <w:bCs/>
          <w:szCs w:val="24"/>
        </w:rPr>
      </w:pPr>
    </w:p>
    <w:p w14:paraId="6196A28E" w14:textId="07AED09C" w:rsidR="00670699" w:rsidRPr="00150B28" w:rsidRDefault="00D16E65" w:rsidP="00C86EDA">
      <w:pPr>
        <w:spacing w:after="0" w:line="240" w:lineRule="auto"/>
        <w:jc w:val="center"/>
        <w:rPr>
          <w:rFonts w:asciiTheme="majorHAnsi" w:hAnsiTheme="majorHAnsi" w:cstheme="majorHAnsi"/>
          <w:szCs w:val="24"/>
        </w:rPr>
      </w:pPr>
      <w:r w:rsidRPr="00150B28">
        <w:rPr>
          <w:rFonts w:asciiTheme="majorHAnsi" w:hAnsiTheme="majorHAnsi" w:cstheme="majorHAnsi"/>
          <w:b/>
          <w:szCs w:val="24"/>
        </w:rPr>
        <w:t>Discusión</w:t>
      </w:r>
    </w:p>
    <w:p w14:paraId="7B5F07C7" w14:textId="77777777" w:rsidR="00FA767C" w:rsidRPr="00150B28"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Se puede observar una ligera mejora en los niveles de ansiedad cuando los estudiantes pasan al segundo semestre, lo que sugiere una tendencia que indica una menor ansiedad a medida que avanzan en su formación. Esto indica que, a medida que los estudiantes progresan, pueden encontrar estrategias efectivas para manejar su ansiedad. </w:t>
      </w:r>
    </w:p>
    <w:p w14:paraId="07BA50FC" w14:textId="77777777" w:rsidR="00FA767C"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lastRenderedPageBreak/>
        <w:t xml:space="preserve">En el análisis por sexo, observamos que las mujeres son más propensas a experimentar ansiedad, lo cual está de acuerdo con González Correa (2017), donde en programas de Bioingeniería de la Universidad de Antioquia, la prevalencia de la ansiedad en mujeres se manifiesta como predominante. </w:t>
      </w:r>
    </w:p>
    <w:p w14:paraId="6EA19590" w14:textId="77777777" w:rsidR="00C86EDA" w:rsidRPr="00150B28" w:rsidRDefault="00C86EDA" w:rsidP="007F0B51">
      <w:pPr>
        <w:spacing w:after="0" w:line="240" w:lineRule="auto"/>
        <w:jc w:val="both"/>
        <w:rPr>
          <w:rFonts w:asciiTheme="majorHAnsi" w:hAnsiTheme="majorHAnsi" w:cstheme="majorHAnsi"/>
          <w:szCs w:val="24"/>
        </w:rPr>
      </w:pPr>
    </w:p>
    <w:p w14:paraId="11C19869" w14:textId="77777777" w:rsidR="00FA767C"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A pesar de esta reducción, es destacable que en la Tabla 1 se observa un porcentaje significativo de estudiantes que en ambos grupos mantiene una preocupación media, indicando la existencia de un grupo considerable que experimenta niveles de preocupación moderados que podrían afectar su rendimiento académico.</w:t>
      </w:r>
    </w:p>
    <w:p w14:paraId="67E6E465" w14:textId="77777777" w:rsidR="00C86EDA" w:rsidRPr="00150B28" w:rsidRDefault="00C86EDA" w:rsidP="007F0B51">
      <w:pPr>
        <w:spacing w:after="0" w:line="240" w:lineRule="auto"/>
        <w:jc w:val="both"/>
        <w:rPr>
          <w:rFonts w:asciiTheme="majorHAnsi" w:hAnsiTheme="majorHAnsi" w:cstheme="majorHAnsi"/>
          <w:szCs w:val="24"/>
        </w:rPr>
      </w:pPr>
    </w:p>
    <w:p w14:paraId="4B00A4D9" w14:textId="1D8EF1EA" w:rsidR="00FA767C"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Los coeficientes de correlación para el primer y segundo semestre presentados indican que, a mayor ansiedad, menor la calificación obtenida en el examen. Este resultado es consistente con los estudios de Cabrera (2011), Abadía (2020) y de Cruz (2021). Los análisis presentados usando la nube de dispersión de calificaciones, los promedios o sus medianas, son consistentes entre sí y estadísticamente significativos. La variabilidad en las calificaciones puede influir en la fuerza de la correlación observada. Los datos indican que, a medida que los niveles de </w:t>
      </w:r>
      <w:r w:rsidR="007D0458" w:rsidRPr="00150B28">
        <w:rPr>
          <w:rFonts w:asciiTheme="majorHAnsi" w:hAnsiTheme="majorHAnsi" w:cstheme="majorHAnsi"/>
          <w:szCs w:val="24"/>
        </w:rPr>
        <w:t>ansiedad</w:t>
      </w:r>
      <w:r w:rsidRPr="00150B28">
        <w:rPr>
          <w:rFonts w:asciiTheme="majorHAnsi" w:hAnsiTheme="majorHAnsi" w:cstheme="majorHAnsi"/>
          <w:szCs w:val="24"/>
        </w:rPr>
        <w:t xml:space="preserve"> aumentan, las calificaciones promedio y medianas tienden a disminuir de manera pronunciada. Para el primer semestre, el coeficiente de correlación entre la ansiedad y la calificación promedio es r=-0.9643, y para el segundo semestre es r=-1.000, lo que indica una correlación muy fuerte en ambos casos y resalta la influencia negativa de la ansiedad en el rendimiento académico. Todo lo anterior apunta a que la tendencia encontrada entre el rendimiento académico y la ansiedad global es consistente y no se debe al azar.</w:t>
      </w:r>
    </w:p>
    <w:p w14:paraId="4641B5AF" w14:textId="77777777" w:rsidR="00C86EDA" w:rsidRPr="00150B28" w:rsidRDefault="00C86EDA" w:rsidP="007F0B51">
      <w:pPr>
        <w:spacing w:after="0" w:line="240" w:lineRule="auto"/>
        <w:jc w:val="both"/>
        <w:rPr>
          <w:rFonts w:asciiTheme="majorHAnsi" w:hAnsiTheme="majorHAnsi" w:cstheme="majorHAnsi"/>
          <w:szCs w:val="24"/>
        </w:rPr>
      </w:pPr>
    </w:p>
    <w:p w14:paraId="72C0F537" w14:textId="77777777" w:rsidR="00FA767C"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En el análisis inferencial del primer semestre, los resultados muestran una diferencia estadísticamente significativa entre las calificaciones del grupo con nivel de ansiedad cero y el grupo con nivel de ansiedad moderada en el factor preocupación. El valor U=8002 y la suma de rangos refuerzan esta conclusión, sugiriendo que los estudiantes con ansiedad cero obtienen calificaciones significativamente más altas que aquellos con niveles de preocupación moderados. </w:t>
      </w:r>
    </w:p>
    <w:p w14:paraId="7DF9856D" w14:textId="77777777" w:rsidR="00C86EDA" w:rsidRPr="00150B28" w:rsidRDefault="00C86EDA" w:rsidP="007F0B51">
      <w:pPr>
        <w:spacing w:after="0" w:line="240" w:lineRule="auto"/>
        <w:jc w:val="both"/>
        <w:rPr>
          <w:rFonts w:asciiTheme="majorHAnsi" w:hAnsiTheme="majorHAnsi" w:cstheme="majorHAnsi"/>
          <w:szCs w:val="24"/>
        </w:rPr>
      </w:pPr>
    </w:p>
    <w:p w14:paraId="7F8BA4A8" w14:textId="2C073038" w:rsidR="00FA767C"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Para el segundo semestre, se encontró que, aunque las puntuaciones del grupo sin ansiedad parecen ser mayores que las del grupo con preocupación moderada, la diferencia no es estadísticamente significativa. Esto sugiere que la relación entre la ansiedad y el rendimiento puede ser más compleja en el segundo semestre. El valor </w:t>
      </w:r>
      <w:r w:rsidR="00133DDA" w:rsidRPr="00150B28">
        <w:rPr>
          <w:rFonts w:asciiTheme="majorHAnsi" w:hAnsiTheme="majorHAnsi" w:cstheme="majorHAnsi"/>
          <w:szCs w:val="24"/>
        </w:rPr>
        <w:t>de U</w:t>
      </w:r>
      <w:r w:rsidRPr="00150B28">
        <w:rPr>
          <w:rFonts w:asciiTheme="majorHAnsi" w:hAnsiTheme="majorHAnsi" w:cstheme="majorHAnsi"/>
          <w:szCs w:val="24"/>
        </w:rPr>
        <w:t xml:space="preserve">=1246 y las sumas de rangos aún muestran que el grupo sin ansiedad tiende a obtener mejores calificaciones, pero la falta de significancia implica que otros factores podrían estar influyendo en el rendimiento académico. </w:t>
      </w:r>
    </w:p>
    <w:p w14:paraId="272A9F39" w14:textId="77777777" w:rsidR="00C86EDA" w:rsidRPr="00150B28" w:rsidRDefault="00C86EDA" w:rsidP="007F0B51">
      <w:pPr>
        <w:spacing w:after="0" w:line="240" w:lineRule="auto"/>
        <w:jc w:val="both"/>
        <w:rPr>
          <w:rFonts w:asciiTheme="majorHAnsi" w:hAnsiTheme="majorHAnsi" w:cstheme="majorHAnsi"/>
          <w:szCs w:val="24"/>
        </w:rPr>
      </w:pPr>
    </w:p>
    <w:p w14:paraId="3E75A629" w14:textId="77777777" w:rsidR="00670699" w:rsidRPr="00150B28" w:rsidRDefault="00D16E65" w:rsidP="00C86EDA">
      <w:pPr>
        <w:spacing w:after="0" w:line="240" w:lineRule="auto"/>
        <w:jc w:val="center"/>
        <w:rPr>
          <w:rFonts w:asciiTheme="majorHAnsi" w:hAnsiTheme="majorHAnsi" w:cstheme="majorHAnsi"/>
          <w:szCs w:val="24"/>
        </w:rPr>
      </w:pPr>
      <w:r w:rsidRPr="00150B28">
        <w:rPr>
          <w:rFonts w:asciiTheme="majorHAnsi" w:hAnsiTheme="majorHAnsi" w:cstheme="majorHAnsi"/>
          <w:b/>
          <w:szCs w:val="24"/>
        </w:rPr>
        <w:t>Conclusiones</w:t>
      </w:r>
    </w:p>
    <w:p w14:paraId="79E643A1" w14:textId="77777777" w:rsidR="00660E06" w:rsidRPr="00150B28" w:rsidRDefault="00660E06"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Los hallazgos de este análisis indican que un porcentaje significativo de estudiantes de bioingeniería en primer y segundo semestre experimenta ansiedad en relación con los exámenes de física y matemáticas, siendo la preocupación el factor más destacado en ambos semestres. Los análisis de correlación evidencian una relación negativa entre los niveles de ansiedad y el rendimiento académico, lo que sugiere que la ansiedad afecta las calificaciones obtenidas en los exámenes.</w:t>
      </w:r>
    </w:p>
    <w:p w14:paraId="11BD61E4" w14:textId="77777777" w:rsidR="00660E06" w:rsidRDefault="00660E06"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El análisis inferencial muestra que, en el primer semestre, los estudiantes con niveles bajos de ansiedad rinden mejor que aquellos con niveles moderados de preocupación, lo que resalta la influencia directa de este factor. En el segundo semestre, aunque la tendencia persiste, la falta de significancia estadística </w:t>
      </w:r>
      <w:r w:rsidRPr="00150B28">
        <w:rPr>
          <w:rFonts w:asciiTheme="majorHAnsi" w:hAnsiTheme="majorHAnsi" w:cstheme="majorHAnsi"/>
          <w:szCs w:val="24"/>
        </w:rPr>
        <w:lastRenderedPageBreak/>
        <w:t>sugiere que otros factores pueden estar influyendo, lo que implica la necesidad de aplicar estrategias específicas según el contexto académico del estudiante.</w:t>
      </w:r>
    </w:p>
    <w:p w14:paraId="75CA2C5A" w14:textId="77777777" w:rsidR="00C86EDA" w:rsidRPr="00150B28" w:rsidRDefault="00C86EDA" w:rsidP="007F0B51">
      <w:pPr>
        <w:spacing w:after="0" w:line="240" w:lineRule="auto"/>
        <w:jc w:val="both"/>
        <w:rPr>
          <w:rFonts w:asciiTheme="majorHAnsi" w:hAnsiTheme="majorHAnsi" w:cstheme="majorHAnsi"/>
          <w:szCs w:val="24"/>
        </w:rPr>
      </w:pPr>
    </w:p>
    <w:p w14:paraId="2961189C" w14:textId="77777777" w:rsidR="00660E06" w:rsidRPr="00150B28" w:rsidRDefault="00660E06"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En conjunto, estos resultados destacan la importancia de implementar estrategias de apoyo emocional y académico para ayudar a los estudiantes a gestionar la ansiedad y mejorar su rendimiento.</w:t>
      </w:r>
    </w:p>
    <w:p w14:paraId="45B11856" w14:textId="77777777" w:rsidR="00660E06" w:rsidRPr="00150B28" w:rsidRDefault="00660E06" w:rsidP="007F0B51">
      <w:pPr>
        <w:spacing w:after="0" w:line="240" w:lineRule="auto"/>
        <w:rPr>
          <w:rFonts w:asciiTheme="majorHAnsi" w:hAnsiTheme="majorHAnsi" w:cstheme="majorHAnsi"/>
          <w:b/>
          <w:szCs w:val="24"/>
        </w:rPr>
      </w:pPr>
    </w:p>
    <w:p w14:paraId="6792213E" w14:textId="77777777" w:rsidR="0021172A" w:rsidRPr="00150B28" w:rsidRDefault="00D16E65" w:rsidP="00C86EDA">
      <w:pPr>
        <w:spacing w:after="0" w:line="240" w:lineRule="auto"/>
        <w:jc w:val="center"/>
        <w:rPr>
          <w:rFonts w:asciiTheme="majorHAnsi" w:hAnsiTheme="majorHAnsi" w:cstheme="majorHAnsi"/>
          <w:szCs w:val="24"/>
        </w:rPr>
      </w:pPr>
      <w:r w:rsidRPr="00150B28">
        <w:rPr>
          <w:rFonts w:asciiTheme="majorHAnsi" w:hAnsiTheme="majorHAnsi" w:cstheme="majorHAnsi"/>
          <w:b/>
          <w:szCs w:val="24"/>
        </w:rPr>
        <w:t>Futuras líneas de investigación</w:t>
      </w:r>
    </w:p>
    <w:p w14:paraId="78878568" w14:textId="5FE53AC1" w:rsidR="0021172A" w:rsidRDefault="0021172A" w:rsidP="00C86EDA">
      <w:pPr>
        <w:spacing w:after="0" w:line="240" w:lineRule="auto"/>
        <w:jc w:val="both"/>
        <w:rPr>
          <w:rFonts w:asciiTheme="majorHAnsi" w:eastAsia="Times New Roman" w:hAnsiTheme="majorHAnsi" w:cstheme="majorHAnsi"/>
          <w:szCs w:val="24"/>
          <w:lang w:eastAsia="es-MX"/>
        </w:rPr>
      </w:pPr>
      <w:r w:rsidRPr="00150B28">
        <w:rPr>
          <w:rFonts w:asciiTheme="majorHAnsi" w:hAnsiTheme="majorHAnsi" w:cstheme="majorHAnsi"/>
          <w:szCs w:val="24"/>
        </w:rPr>
        <w:t>Derivado de los resultados, es importante i</w:t>
      </w:r>
      <w:r w:rsidRPr="00150B28">
        <w:rPr>
          <w:rFonts w:asciiTheme="majorHAnsi" w:eastAsia="Times New Roman" w:hAnsiTheme="majorHAnsi" w:cstheme="majorHAnsi"/>
          <w:szCs w:val="24"/>
          <w:lang w:eastAsia="es-MX"/>
        </w:rPr>
        <w:t>nvestigar si la ansiedad frente a los exámenes varía según las disciplinas dentro de la bioingeniería, comparando la percepción de ansiedad en áreas como química, biología o ingeniería, y cómo estas diferencias pueden influir en la gestión del aprendizaje.</w:t>
      </w:r>
    </w:p>
    <w:p w14:paraId="704FF0B0" w14:textId="77777777" w:rsidR="00C86EDA" w:rsidRPr="00150B28" w:rsidRDefault="00C86EDA" w:rsidP="00C86EDA">
      <w:pPr>
        <w:spacing w:after="0" w:line="240" w:lineRule="auto"/>
        <w:jc w:val="both"/>
        <w:rPr>
          <w:rFonts w:asciiTheme="majorHAnsi" w:hAnsiTheme="majorHAnsi" w:cstheme="majorHAnsi"/>
          <w:szCs w:val="24"/>
        </w:rPr>
      </w:pPr>
    </w:p>
    <w:p w14:paraId="349AE5BD" w14:textId="2F0F08AC" w:rsidR="0021172A" w:rsidRDefault="0021172A" w:rsidP="00C86EDA">
      <w:pPr>
        <w:spacing w:after="0" w:line="240" w:lineRule="auto"/>
        <w:ind w:right="-7"/>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Para los estudiantes que recién ingresan, resulta importante investigar los factores de adaptación que pueden facilitar la transición al entorno universitario, como el apoyo social, la autoeficacia y las expectativas académicas. </w:t>
      </w:r>
    </w:p>
    <w:p w14:paraId="10324DD5" w14:textId="77777777" w:rsidR="00C86EDA" w:rsidRPr="00150B28" w:rsidRDefault="00C86EDA" w:rsidP="00C86EDA">
      <w:pPr>
        <w:spacing w:after="0" w:line="240" w:lineRule="auto"/>
        <w:ind w:right="-7"/>
        <w:jc w:val="both"/>
        <w:rPr>
          <w:rFonts w:asciiTheme="majorHAnsi" w:eastAsia="Times New Roman" w:hAnsiTheme="majorHAnsi" w:cstheme="majorHAnsi"/>
          <w:szCs w:val="24"/>
          <w:lang w:eastAsia="es-MX"/>
        </w:rPr>
      </w:pPr>
    </w:p>
    <w:p w14:paraId="356C5F73" w14:textId="3A349E06" w:rsidR="0021172A" w:rsidRPr="00150B28" w:rsidRDefault="0021172A" w:rsidP="007F0B51">
      <w:pPr>
        <w:spacing w:after="0" w:line="240" w:lineRule="auto"/>
        <w:ind w:right="-7"/>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Sumado a esto, es necesario evaluar </w:t>
      </w:r>
      <w:r w:rsidR="006939E6" w:rsidRPr="00150B28">
        <w:rPr>
          <w:rFonts w:asciiTheme="majorHAnsi" w:eastAsia="Times New Roman" w:hAnsiTheme="majorHAnsi" w:cstheme="majorHAnsi"/>
          <w:szCs w:val="24"/>
          <w:lang w:eastAsia="es-MX"/>
        </w:rPr>
        <w:t xml:space="preserve">el alcance actual de </w:t>
      </w:r>
      <w:r w:rsidRPr="00150B28">
        <w:rPr>
          <w:rFonts w:asciiTheme="majorHAnsi" w:eastAsia="Times New Roman" w:hAnsiTheme="majorHAnsi" w:cstheme="majorHAnsi"/>
          <w:szCs w:val="24"/>
          <w:lang w:eastAsia="es-MX"/>
        </w:rPr>
        <w:t>programas de tutoría</w:t>
      </w:r>
      <w:r w:rsidR="006939E6" w:rsidRPr="00150B28">
        <w:rPr>
          <w:rFonts w:asciiTheme="majorHAnsi" w:eastAsia="Times New Roman" w:hAnsiTheme="majorHAnsi" w:cstheme="majorHAnsi"/>
          <w:szCs w:val="24"/>
          <w:lang w:eastAsia="es-MX"/>
        </w:rPr>
        <w:t xml:space="preserve"> institucionales e indagar sobre alternativas que favorezcan el manejo efectivo de la ansiedad</w:t>
      </w:r>
      <w:r w:rsidRPr="00150B28">
        <w:rPr>
          <w:rFonts w:asciiTheme="majorHAnsi" w:eastAsia="Times New Roman" w:hAnsiTheme="majorHAnsi" w:cstheme="majorHAnsi"/>
          <w:szCs w:val="24"/>
          <w:lang w:eastAsia="es-MX"/>
        </w:rPr>
        <w:t>, así como la propuesta de nuevas alternativas basadas en las necesidades específicas de los estudiantes.</w:t>
      </w:r>
    </w:p>
    <w:p w14:paraId="73CCC5EC" w14:textId="77777777" w:rsidR="0006172E" w:rsidRPr="00150B28" w:rsidRDefault="0006172E" w:rsidP="007F0B51">
      <w:pPr>
        <w:spacing w:after="0" w:line="240" w:lineRule="auto"/>
        <w:ind w:right="-7"/>
        <w:jc w:val="both"/>
        <w:rPr>
          <w:rFonts w:asciiTheme="majorHAnsi" w:eastAsia="Times New Roman" w:hAnsiTheme="majorHAnsi" w:cstheme="majorHAnsi"/>
          <w:szCs w:val="24"/>
          <w:lang w:eastAsia="es-MX"/>
        </w:rPr>
      </w:pPr>
    </w:p>
    <w:p w14:paraId="421E9E85" w14:textId="0F9F1BAF" w:rsidR="00670699" w:rsidRPr="00150B28" w:rsidRDefault="00D16E65" w:rsidP="00C86EDA">
      <w:pPr>
        <w:spacing w:after="0" w:line="240" w:lineRule="auto"/>
        <w:ind w:right="-7"/>
        <w:jc w:val="center"/>
        <w:rPr>
          <w:rFonts w:asciiTheme="majorHAnsi" w:hAnsiTheme="majorHAnsi" w:cstheme="majorHAnsi"/>
          <w:szCs w:val="24"/>
        </w:rPr>
      </w:pPr>
      <w:r w:rsidRPr="00150B28">
        <w:rPr>
          <w:rFonts w:asciiTheme="majorHAnsi" w:hAnsiTheme="majorHAnsi" w:cstheme="majorHAnsi"/>
          <w:b/>
          <w:szCs w:val="24"/>
        </w:rPr>
        <w:t>Agradecimientos</w:t>
      </w:r>
    </w:p>
    <w:p w14:paraId="5660A074" w14:textId="743F31E2" w:rsidR="00FA767C" w:rsidRDefault="00EB3520" w:rsidP="007F0B51">
      <w:pPr>
        <w:spacing w:after="0" w:line="240" w:lineRule="auto"/>
        <w:ind w:right="-7" w:firstLine="284"/>
        <w:jc w:val="both"/>
        <w:rPr>
          <w:rFonts w:asciiTheme="majorHAnsi" w:hAnsiTheme="majorHAnsi" w:cstheme="majorHAnsi"/>
          <w:szCs w:val="24"/>
        </w:rPr>
      </w:pPr>
      <w:r w:rsidRPr="00150B28">
        <w:rPr>
          <w:rFonts w:asciiTheme="majorHAnsi" w:hAnsiTheme="majorHAnsi" w:cstheme="majorHAnsi"/>
          <w:szCs w:val="24"/>
        </w:rPr>
        <w:t>Al</w:t>
      </w:r>
      <w:r w:rsidR="00FA767C" w:rsidRPr="00150B28">
        <w:rPr>
          <w:rFonts w:asciiTheme="majorHAnsi" w:hAnsiTheme="majorHAnsi" w:cstheme="majorHAnsi"/>
          <w:szCs w:val="24"/>
        </w:rPr>
        <w:t xml:space="preserve"> Instituto Politécnico Nacional</w:t>
      </w:r>
      <w:r w:rsidR="0006172E" w:rsidRPr="00150B28">
        <w:rPr>
          <w:rFonts w:asciiTheme="majorHAnsi" w:hAnsiTheme="majorHAnsi" w:cstheme="majorHAnsi"/>
          <w:szCs w:val="24"/>
        </w:rPr>
        <w:t xml:space="preserve"> por los recursos asignados para la realización del </w:t>
      </w:r>
      <w:r w:rsidR="00FA767C" w:rsidRPr="00150B28">
        <w:rPr>
          <w:rFonts w:asciiTheme="majorHAnsi" w:hAnsiTheme="majorHAnsi" w:cstheme="majorHAnsi"/>
          <w:szCs w:val="24"/>
        </w:rPr>
        <w:t xml:space="preserve">proyecto de investigación </w:t>
      </w:r>
      <w:r w:rsidRPr="00150B28">
        <w:rPr>
          <w:rFonts w:asciiTheme="majorHAnsi" w:hAnsiTheme="majorHAnsi" w:cstheme="majorHAnsi"/>
          <w:szCs w:val="24"/>
        </w:rPr>
        <w:t>SIP-</w:t>
      </w:r>
      <w:r w:rsidR="00FA767C" w:rsidRPr="00150B28">
        <w:rPr>
          <w:rFonts w:asciiTheme="majorHAnsi" w:hAnsiTheme="majorHAnsi" w:cstheme="majorHAnsi"/>
          <w:szCs w:val="24"/>
        </w:rPr>
        <w:t xml:space="preserve">20242679 del cual se deriva este trabajo. </w:t>
      </w:r>
    </w:p>
    <w:p w14:paraId="655FB30D" w14:textId="77777777" w:rsidR="00C86EDA" w:rsidRDefault="00C86EDA" w:rsidP="007F0B51">
      <w:pPr>
        <w:spacing w:after="0" w:line="240" w:lineRule="auto"/>
        <w:ind w:right="-7" w:firstLine="284"/>
        <w:jc w:val="both"/>
        <w:rPr>
          <w:rFonts w:asciiTheme="majorHAnsi" w:hAnsiTheme="majorHAnsi" w:cstheme="majorHAnsi"/>
          <w:szCs w:val="24"/>
        </w:rPr>
      </w:pPr>
    </w:p>
    <w:p w14:paraId="6FB8BA1A" w14:textId="77777777" w:rsidR="00C86EDA" w:rsidRDefault="00C86EDA" w:rsidP="007F0B51">
      <w:pPr>
        <w:spacing w:after="0" w:line="240" w:lineRule="auto"/>
        <w:ind w:right="-7" w:firstLine="284"/>
        <w:jc w:val="both"/>
        <w:rPr>
          <w:rFonts w:asciiTheme="majorHAnsi" w:hAnsiTheme="majorHAnsi" w:cstheme="majorHAnsi"/>
          <w:szCs w:val="24"/>
        </w:rPr>
      </w:pPr>
    </w:p>
    <w:p w14:paraId="4DA39B17" w14:textId="77777777" w:rsidR="00C86EDA" w:rsidRDefault="00C86EDA" w:rsidP="007F0B51">
      <w:pPr>
        <w:spacing w:after="0" w:line="240" w:lineRule="auto"/>
        <w:ind w:right="-7" w:firstLine="284"/>
        <w:jc w:val="both"/>
        <w:rPr>
          <w:rFonts w:asciiTheme="majorHAnsi" w:hAnsiTheme="majorHAnsi" w:cstheme="majorHAnsi"/>
          <w:szCs w:val="24"/>
        </w:rPr>
      </w:pPr>
    </w:p>
    <w:p w14:paraId="418A238C" w14:textId="77777777" w:rsidR="00C86EDA" w:rsidRDefault="00C86EDA" w:rsidP="007F0B51">
      <w:pPr>
        <w:spacing w:after="0" w:line="240" w:lineRule="auto"/>
        <w:ind w:right="-7" w:firstLine="284"/>
        <w:jc w:val="both"/>
        <w:rPr>
          <w:rFonts w:asciiTheme="majorHAnsi" w:hAnsiTheme="majorHAnsi" w:cstheme="majorHAnsi"/>
          <w:szCs w:val="24"/>
        </w:rPr>
      </w:pPr>
    </w:p>
    <w:p w14:paraId="0C106E5D" w14:textId="77777777" w:rsidR="00C86EDA" w:rsidRDefault="00C86EDA" w:rsidP="007F0B51">
      <w:pPr>
        <w:spacing w:after="0" w:line="240" w:lineRule="auto"/>
        <w:ind w:right="-7" w:firstLine="284"/>
        <w:jc w:val="both"/>
        <w:rPr>
          <w:rFonts w:asciiTheme="majorHAnsi" w:hAnsiTheme="majorHAnsi" w:cstheme="majorHAnsi"/>
          <w:szCs w:val="24"/>
        </w:rPr>
      </w:pPr>
    </w:p>
    <w:p w14:paraId="15995F6D" w14:textId="77777777" w:rsidR="00C86EDA" w:rsidRDefault="00C86EDA" w:rsidP="007F0B51">
      <w:pPr>
        <w:spacing w:after="0" w:line="240" w:lineRule="auto"/>
        <w:ind w:right="-7" w:firstLine="284"/>
        <w:jc w:val="both"/>
        <w:rPr>
          <w:rFonts w:asciiTheme="majorHAnsi" w:hAnsiTheme="majorHAnsi" w:cstheme="majorHAnsi"/>
          <w:szCs w:val="24"/>
        </w:rPr>
      </w:pPr>
    </w:p>
    <w:p w14:paraId="57B3ED3A" w14:textId="77777777" w:rsidR="00C86EDA" w:rsidRDefault="00C86EDA" w:rsidP="007F0B51">
      <w:pPr>
        <w:spacing w:after="0" w:line="240" w:lineRule="auto"/>
        <w:ind w:right="-7" w:firstLine="284"/>
        <w:jc w:val="both"/>
        <w:rPr>
          <w:rFonts w:asciiTheme="majorHAnsi" w:hAnsiTheme="majorHAnsi" w:cstheme="majorHAnsi"/>
          <w:szCs w:val="24"/>
        </w:rPr>
      </w:pPr>
    </w:p>
    <w:p w14:paraId="295B37B7" w14:textId="77777777" w:rsidR="00C86EDA" w:rsidRDefault="00C86EDA" w:rsidP="007F0B51">
      <w:pPr>
        <w:spacing w:after="0" w:line="240" w:lineRule="auto"/>
        <w:ind w:right="-7" w:firstLine="284"/>
        <w:jc w:val="both"/>
        <w:rPr>
          <w:rFonts w:asciiTheme="majorHAnsi" w:hAnsiTheme="majorHAnsi" w:cstheme="majorHAnsi"/>
          <w:szCs w:val="24"/>
        </w:rPr>
      </w:pPr>
    </w:p>
    <w:p w14:paraId="4A46D042" w14:textId="77777777" w:rsidR="00C86EDA" w:rsidRDefault="00C86EDA" w:rsidP="007F0B51">
      <w:pPr>
        <w:spacing w:after="0" w:line="240" w:lineRule="auto"/>
        <w:ind w:right="-7" w:firstLine="284"/>
        <w:jc w:val="both"/>
        <w:rPr>
          <w:rFonts w:asciiTheme="majorHAnsi" w:hAnsiTheme="majorHAnsi" w:cstheme="majorHAnsi"/>
          <w:szCs w:val="24"/>
        </w:rPr>
      </w:pPr>
    </w:p>
    <w:p w14:paraId="1A3BECE5" w14:textId="77777777" w:rsidR="00C86EDA" w:rsidRDefault="00C86EDA" w:rsidP="007F0B51">
      <w:pPr>
        <w:spacing w:after="0" w:line="240" w:lineRule="auto"/>
        <w:ind w:right="-7" w:firstLine="284"/>
        <w:jc w:val="both"/>
        <w:rPr>
          <w:rFonts w:asciiTheme="majorHAnsi" w:hAnsiTheme="majorHAnsi" w:cstheme="majorHAnsi"/>
          <w:szCs w:val="24"/>
        </w:rPr>
      </w:pPr>
    </w:p>
    <w:p w14:paraId="631D8F22" w14:textId="77777777" w:rsidR="00C86EDA" w:rsidRDefault="00C86EDA" w:rsidP="007F0B51">
      <w:pPr>
        <w:spacing w:after="0" w:line="240" w:lineRule="auto"/>
        <w:ind w:right="-7" w:firstLine="284"/>
        <w:jc w:val="both"/>
        <w:rPr>
          <w:rFonts w:asciiTheme="majorHAnsi" w:hAnsiTheme="majorHAnsi" w:cstheme="majorHAnsi"/>
          <w:szCs w:val="24"/>
        </w:rPr>
      </w:pPr>
    </w:p>
    <w:p w14:paraId="71728D47" w14:textId="77777777" w:rsidR="00C86EDA" w:rsidRDefault="00C86EDA" w:rsidP="007F0B51">
      <w:pPr>
        <w:spacing w:after="0" w:line="240" w:lineRule="auto"/>
        <w:ind w:right="-7" w:firstLine="284"/>
        <w:jc w:val="both"/>
        <w:rPr>
          <w:rFonts w:asciiTheme="majorHAnsi" w:hAnsiTheme="majorHAnsi" w:cstheme="majorHAnsi"/>
          <w:szCs w:val="24"/>
        </w:rPr>
      </w:pPr>
    </w:p>
    <w:p w14:paraId="4D32FFF3" w14:textId="77777777" w:rsidR="00C86EDA" w:rsidRDefault="00C86EDA" w:rsidP="007F0B51">
      <w:pPr>
        <w:spacing w:after="0" w:line="240" w:lineRule="auto"/>
        <w:ind w:right="-7" w:firstLine="284"/>
        <w:jc w:val="both"/>
        <w:rPr>
          <w:rFonts w:asciiTheme="majorHAnsi" w:hAnsiTheme="majorHAnsi" w:cstheme="majorHAnsi"/>
          <w:szCs w:val="24"/>
        </w:rPr>
      </w:pPr>
    </w:p>
    <w:p w14:paraId="534A79D1" w14:textId="77777777" w:rsidR="00C86EDA" w:rsidRDefault="00C86EDA" w:rsidP="007F0B51">
      <w:pPr>
        <w:spacing w:after="0" w:line="240" w:lineRule="auto"/>
        <w:ind w:right="-7" w:firstLine="284"/>
        <w:jc w:val="both"/>
        <w:rPr>
          <w:rFonts w:asciiTheme="majorHAnsi" w:hAnsiTheme="majorHAnsi" w:cstheme="majorHAnsi"/>
          <w:szCs w:val="24"/>
        </w:rPr>
      </w:pPr>
    </w:p>
    <w:p w14:paraId="301DF41C" w14:textId="77777777" w:rsidR="00C86EDA" w:rsidRDefault="00C86EDA" w:rsidP="007F0B51">
      <w:pPr>
        <w:spacing w:after="0" w:line="240" w:lineRule="auto"/>
        <w:ind w:right="-7" w:firstLine="284"/>
        <w:jc w:val="both"/>
        <w:rPr>
          <w:rFonts w:asciiTheme="majorHAnsi" w:hAnsiTheme="majorHAnsi" w:cstheme="majorHAnsi"/>
          <w:szCs w:val="24"/>
        </w:rPr>
      </w:pPr>
    </w:p>
    <w:p w14:paraId="66D20A3A" w14:textId="77777777" w:rsidR="00C86EDA" w:rsidRDefault="00C86EDA" w:rsidP="007F0B51">
      <w:pPr>
        <w:spacing w:after="0" w:line="240" w:lineRule="auto"/>
        <w:ind w:right="-7" w:firstLine="284"/>
        <w:jc w:val="both"/>
        <w:rPr>
          <w:rFonts w:asciiTheme="majorHAnsi" w:hAnsiTheme="majorHAnsi" w:cstheme="majorHAnsi"/>
          <w:szCs w:val="24"/>
        </w:rPr>
      </w:pPr>
    </w:p>
    <w:p w14:paraId="6B8201FF" w14:textId="77777777" w:rsidR="00C86EDA" w:rsidRDefault="00C86EDA" w:rsidP="007F0B51">
      <w:pPr>
        <w:spacing w:after="0" w:line="240" w:lineRule="auto"/>
        <w:ind w:right="-7" w:firstLine="284"/>
        <w:jc w:val="both"/>
        <w:rPr>
          <w:rFonts w:asciiTheme="majorHAnsi" w:hAnsiTheme="majorHAnsi" w:cstheme="majorHAnsi"/>
          <w:szCs w:val="24"/>
        </w:rPr>
      </w:pPr>
    </w:p>
    <w:p w14:paraId="38DDB963" w14:textId="77777777" w:rsidR="00C86EDA" w:rsidRDefault="00C86EDA" w:rsidP="007F0B51">
      <w:pPr>
        <w:spacing w:after="0" w:line="240" w:lineRule="auto"/>
        <w:ind w:right="-7" w:firstLine="284"/>
        <w:jc w:val="both"/>
        <w:rPr>
          <w:rFonts w:asciiTheme="majorHAnsi" w:hAnsiTheme="majorHAnsi" w:cstheme="majorHAnsi"/>
          <w:szCs w:val="24"/>
        </w:rPr>
      </w:pPr>
    </w:p>
    <w:p w14:paraId="7060B32D" w14:textId="77777777" w:rsidR="00C86EDA" w:rsidRDefault="00C86EDA" w:rsidP="007F0B51">
      <w:pPr>
        <w:spacing w:after="0" w:line="240" w:lineRule="auto"/>
        <w:ind w:right="-7" w:firstLine="284"/>
        <w:jc w:val="both"/>
        <w:rPr>
          <w:rFonts w:asciiTheme="majorHAnsi" w:hAnsiTheme="majorHAnsi" w:cstheme="majorHAnsi"/>
          <w:szCs w:val="24"/>
        </w:rPr>
      </w:pPr>
    </w:p>
    <w:p w14:paraId="0A3F9EDF" w14:textId="77777777" w:rsidR="00C86EDA" w:rsidRDefault="00C86EDA" w:rsidP="007F0B51">
      <w:pPr>
        <w:spacing w:after="0" w:line="240" w:lineRule="auto"/>
        <w:ind w:right="-7" w:firstLine="284"/>
        <w:jc w:val="both"/>
        <w:rPr>
          <w:rFonts w:asciiTheme="majorHAnsi" w:hAnsiTheme="majorHAnsi" w:cstheme="majorHAnsi"/>
          <w:szCs w:val="24"/>
        </w:rPr>
      </w:pPr>
    </w:p>
    <w:p w14:paraId="3BE17F12" w14:textId="77777777" w:rsidR="00C86EDA" w:rsidRDefault="00C86EDA" w:rsidP="007F0B51">
      <w:pPr>
        <w:spacing w:after="0" w:line="240" w:lineRule="auto"/>
        <w:ind w:right="-7" w:firstLine="284"/>
        <w:jc w:val="both"/>
        <w:rPr>
          <w:rFonts w:asciiTheme="majorHAnsi" w:hAnsiTheme="majorHAnsi" w:cstheme="majorHAnsi"/>
          <w:szCs w:val="24"/>
        </w:rPr>
      </w:pPr>
    </w:p>
    <w:p w14:paraId="7CD4DF5E" w14:textId="77777777" w:rsidR="00C86EDA" w:rsidRPr="00150B28" w:rsidRDefault="00C86EDA" w:rsidP="007F0B51">
      <w:pPr>
        <w:spacing w:after="0" w:line="240" w:lineRule="auto"/>
        <w:ind w:right="-7" w:firstLine="284"/>
        <w:jc w:val="both"/>
        <w:rPr>
          <w:rFonts w:asciiTheme="majorHAnsi" w:hAnsiTheme="majorHAnsi" w:cstheme="majorHAnsi"/>
          <w:szCs w:val="24"/>
        </w:rPr>
      </w:pPr>
    </w:p>
    <w:p w14:paraId="38FFB5DA" w14:textId="77777777" w:rsidR="00670699" w:rsidRPr="00150B28" w:rsidRDefault="00D16E65" w:rsidP="00C86EDA">
      <w:pPr>
        <w:spacing w:after="0" w:line="240" w:lineRule="auto"/>
        <w:jc w:val="center"/>
        <w:rPr>
          <w:rFonts w:asciiTheme="majorHAnsi" w:hAnsiTheme="majorHAnsi" w:cstheme="majorHAnsi"/>
          <w:szCs w:val="24"/>
        </w:rPr>
      </w:pPr>
      <w:r w:rsidRPr="00150B28">
        <w:rPr>
          <w:rFonts w:asciiTheme="majorHAnsi" w:hAnsiTheme="majorHAnsi" w:cstheme="majorHAnsi"/>
          <w:b/>
          <w:szCs w:val="24"/>
        </w:rPr>
        <w:lastRenderedPageBreak/>
        <w:t>Referencias</w:t>
      </w:r>
    </w:p>
    <w:p w14:paraId="095936C3"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Abadía, G. (2020). </w:t>
      </w:r>
      <w:r w:rsidRPr="00150B28">
        <w:rPr>
          <w:rFonts w:asciiTheme="majorHAnsi" w:eastAsia="Times New Roman" w:hAnsiTheme="majorHAnsi" w:cstheme="majorHAnsi"/>
          <w:i/>
          <w:iCs/>
          <w:szCs w:val="24"/>
          <w:lang w:eastAsia="es-MX"/>
        </w:rPr>
        <w:t>Relación de la ansiedad ante los exámenes y el rendimiento académico en estudiantes del I ciclo de la carrera de psicología de la Universidad Continental 2019-I</w:t>
      </w:r>
      <w:r w:rsidRPr="00150B28">
        <w:rPr>
          <w:rFonts w:asciiTheme="majorHAnsi" w:eastAsia="Times New Roman" w:hAnsiTheme="majorHAnsi" w:cstheme="majorHAnsi"/>
          <w:szCs w:val="24"/>
          <w:lang w:eastAsia="es-MX"/>
        </w:rPr>
        <w:t xml:space="preserve"> [Tesis de licenciatura, Escuela Académico Profesional de Psicología, Universidad Continental]. </w:t>
      </w:r>
      <w:hyperlink r:id="rId14" w:tgtFrame="_new" w:history="1">
        <w:r w:rsidRPr="00150B28">
          <w:rPr>
            <w:rStyle w:val="Hipervnculo"/>
            <w:rFonts w:asciiTheme="majorHAnsi" w:eastAsia="Times New Roman" w:hAnsiTheme="majorHAnsi" w:cstheme="majorHAnsi"/>
            <w:szCs w:val="24"/>
            <w:lang w:eastAsia="es-MX"/>
          </w:rPr>
          <w:t>https://hdl.handle.net/20.500.12394/9233</w:t>
        </w:r>
      </w:hyperlink>
      <w:r w:rsidRPr="00150B28">
        <w:rPr>
          <w:rFonts w:asciiTheme="majorHAnsi" w:eastAsia="Times New Roman" w:hAnsiTheme="majorHAnsi" w:cstheme="majorHAnsi"/>
          <w:szCs w:val="24"/>
          <w:lang w:eastAsia="es-MX"/>
        </w:rPr>
        <w:t>}</w:t>
      </w:r>
    </w:p>
    <w:p w14:paraId="3E968705"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Banega, S. (2022). Ansiedad frente a exámenes. Propuesta de intervención para estudiantes universitarios de la Facultad de Ciencias Exactas - UNLP. Universidad Nacional de La Plata.</w:t>
      </w:r>
    </w:p>
    <w:p w14:paraId="2FC69CCA"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Bojorquez de la Torre, J. D. (2015). Ansiedad y rendimiento académico en estudiantes universitarios. Universidad de San Martín de Porres.</w:t>
      </w:r>
    </w:p>
    <w:p w14:paraId="7179C048"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Cabrera Zamora, I. M. (2011). </w:t>
      </w:r>
      <w:r w:rsidRPr="00150B28">
        <w:rPr>
          <w:rFonts w:asciiTheme="majorHAnsi" w:eastAsia="Times New Roman" w:hAnsiTheme="majorHAnsi" w:cstheme="majorHAnsi"/>
          <w:i/>
          <w:iCs/>
          <w:szCs w:val="24"/>
          <w:lang w:eastAsia="es-MX"/>
        </w:rPr>
        <w:t>El nivel de ansiedad ante los exámenes y el rendimiento académico en los estudiantes de la licenciatura en psicología ante la asignatura de estadística II-edición única (maestría)</w:t>
      </w:r>
      <w:r w:rsidRPr="00150B28">
        <w:rPr>
          <w:rFonts w:asciiTheme="majorHAnsi" w:eastAsia="Times New Roman" w:hAnsiTheme="majorHAnsi" w:cstheme="majorHAnsi"/>
          <w:szCs w:val="24"/>
          <w:lang w:eastAsia="es-MX"/>
        </w:rPr>
        <w:t xml:space="preserve">. Instituto Tecnológico y de Estudios Superiores de Monterrey. </w:t>
      </w:r>
      <w:hyperlink r:id="rId15" w:tgtFrame="_new" w:history="1">
        <w:r w:rsidRPr="00150B28">
          <w:rPr>
            <w:rStyle w:val="Hipervnculo"/>
            <w:rFonts w:asciiTheme="majorHAnsi" w:eastAsia="Times New Roman" w:hAnsiTheme="majorHAnsi" w:cstheme="majorHAnsi"/>
            <w:szCs w:val="24"/>
            <w:lang w:eastAsia="es-MX"/>
          </w:rPr>
          <w:t>http://hdl.handle.net/11285/570804</w:t>
        </w:r>
      </w:hyperlink>
    </w:p>
    <w:p w14:paraId="66D26E42"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color w:val="0000FF"/>
          <w:szCs w:val="24"/>
          <w:u w:val="single"/>
          <w:lang w:eastAsia="es-MX"/>
        </w:rPr>
      </w:pPr>
      <w:r w:rsidRPr="00150B28">
        <w:rPr>
          <w:rFonts w:asciiTheme="majorHAnsi" w:eastAsia="Times New Roman" w:hAnsiTheme="majorHAnsi" w:cstheme="majorHAnsi"/>
          <w:szCs w:val="24"/>
          <w:lang w:eastAsia="es-MX"/>
        </w:rPr>
        <w:t xml:space="preserve">Cardona, J., Pérez, D., Rivera, S., Gómez, J., &amp; Reyes, A. (2015). Prevalencia de ansiedad en estudiantes universitarios. </w:t>
      </w:r>
      <w:r w:rsidRPr="00150B28">
        <w:rPr>
          <w:rFonts w:asciiTheme="majorHAnsi" w:eastAsia="Times New Roman" w:hAnsiTheme="majorHAnsi" w:cstheme="majorHAnsi"/>
          <w:i/>
          <w:iCs/>
          <w:szCs w:val="24"/>
          <w:lang w:eastAsia="es-MX"/>
        </w:rPr>
        <w:t>Revista Diversitas: Perspectivas en psicología</w:t>
      </w:r>
      <w:r w:rsidRPr="00150B28">
        <w:rPr>
          <w:rFonts w:asciiTheme="majorHAnsi" w:eastAsia="Times New Roman" w:hAnsiTheme="majorHAnsi" w:cstheme="majorHAnsi"/>
          <w:szCs w:val="24"/>
          <w:lang w:eastAsia="es-MX"/>
        </w:rPr>
        <w:t xml:space="preserve">, 11(1). </w:t>
      </w:r>
      <w:hyperlink r:id="rId16" w:tgtFrame="_new" w:history="1">
        <w:r w:rsidRPr="00150B28">
          <w:rPr>
            <w:rFonts w:asciiTheme="majorHAnsi" w:eastAsia="Times New Roman" w:hAnsiTheme="majorHAnsi" w:cstheme="majorHAnsi"/>
            <w:color w:val="0000FF"/>
            <w:szCs w:val="24"/>
            <w:u w:val="single"/>
            <w:lang w:eastAsia="es-MX"/>
          </w:rPr>
          <w:t>http://www.scielo.org.co/scielo.php?script=sci_arttext&amp;pid=S179499982015000100006</w:t>
        </w:r>
      </w:hyperlink>
    </w:p>
    <w:p w14:paraId="31DCCD98"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Chacón Delgado, E., </w:t>
      </w:r>
      <w:proofErr w:type="spellStart"/>
      <w:r w:rsidRPr="00150B28">
        <w:rPr>
          <w:rFonts w:asciiTheme="majorHAnsi" w:eastAsia="Times New Roman" w:hAnsiTheme="majorHAnsi" w:cstheme="majorHAnsi"/>
          <w:szCs w:val="24"/>
          <w:lang w:eastAsia="es-MX"/>
        </w:rPr>
        <w:t>Xatruch</w:t>
      </w:r>
      <w:proofErr w:type="spellEnd"/>
      <w:r w:rsidRPr="00150B28">
        <w:rPr>
          <w:rFonts w:asciiTheme="majorHAnsi" w:eastAsia="Times New Roman" w:hAnsiTheme="majorHAnsi" w:cstheme="majorHAnsi"/>
          <w:szCs w:val="24"/>
          <w:lang w:eastAsia="es-MX"/>
        </w:rPr>
        <w:t xml:space="preserve"> De la Cera, D., Fernández Lara, M., &amp; Murillo Arias, R. (2021). Generalidades sobre el trastorno de ansiedad. </w:t>
      </w:r>
      <w:r w:rsidRPr="00150B28">
        <w:rPr>
          <w:rFonts w:asciiTheme="majorHAnsi" w:eastAsia="Times New Roman" w:hAnsiTheme="majorHAnsi" w:cstheme="majorHAnsi"/>
          <w:i/>
          <w:iCs/>
          <w:szCs w:val="24"/>
          <w:lang w:eastAsia="es-MX"/>
        </w:rPr>
        <w:t>Revista Cúpula</w:t>
      </w:r>
      <w:r w:rsidRPr="00150B28">
        <w:rPr>
          <w:rFonts w:asciiTheme="majorHAnsi" w:eastAsia="Times New Roman" w:hAnsiTheme="majorHAnsi" w:cstheme="majorHAnsi"/>
          <w:szCs w:val="24"/>
          <w:lang w:eastAsia="es-MX"/>
        </w:rPr>
        <w:t>, 35(1), 23-36.</w:t>
      </w:r>
    </w:p>
    <w:p w14:paraId="7EC7FE1B"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Córdoba Díaz, L. M., &amp; Castro Franco, J. V. (2020). Influencia de la ansiedad en el rendimiento académico de estudiantes universitarios. Universidad Cooperativa de Colombia.</w:t>
      </w:r>
    </w:p>
    <w:p w14:paraId="596C535C"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color w:val="0000FF"/>
          <w:szCs w:val="24"/>
          <w:u w:val="single"/>
          <w:lang w:eastAsia="es-MX"/>
        </w:rPr>
      </w:pPr>
      <w:r w:rsidRPr="00150B28">
        <w:rPr>
          <w:rFonts w:asciiTheme="majorHAnsi" w:eastAsia="Times New Roman" w:hAnsiTheme="majorHAnsi" w:cstheme="majorHAnsi"/>
          <w:szCs w:val="24"/>
          <w:lang w:eastAsia="es-MX"/>
        </w:rPr>
        <w:t xml:space="preserve">Corrales-Córdoba, D., Rangel-Arcos, M. J., &amp; Varela-Arévalo, M. T. (2024). Actividades de ocio y su relación con la salud mental en jóvenes universitarios de Cali, Colombia (Leisure </w:t>
      </w:r>
      <w:proofErr w:type="spellStart"/>
      <w:r w:rsidRPr="00150B28">
        <w:rPr>
          <w:rFonts w:asciiTheme="majorHAnsi" w:eastAsia="Times New Roman" w:hAnsiTheme="majorHAnsi" w:cstheme="majorHAnsi"/>
          <w:szCs w:val="24"/>
          <w:lang w:eastAsia="es-MX"/>
        </w:rPr>
        <w:t>activities</w:t>
      </w:r>
      <w:proofErr w:type="spellEnd"/>
      <w:r w:rsidRPr="00150B28">
        <w:rPr>
          <w:rFonts w:asciiTheme="majorHAnsi" w:eastAsia="Times New Roman" w:hAnsiTheme="majorHAnsi" w:cstheme="majorHAnsi"/>
          <w:szCs w:val="24"/>
          <w:lang w:eastAsia="es-MX"/>
        </w:rPr>
        <w:t xml:space="preserve"> and </w:t>
      </w:r>
      <w:proofErr w:type="spellStart"/>
      <w:r w:rsidRPr="00150B28">
        <w:rPr>
          <w:rFonts w:asciiTheme="majorHAnsi" w:eastAsia="Times New Roman" w:hAnsiTheme="majorHAnsi" w:cstheme="majorHAnsi"/>
          <w:szCs w:val="24"/>
          <w:lang w:eastAsia="es-MX"/>
        </w:rPr>
        <w:t>their</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relationship</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with</w:t>
      </w:r>
      <w:proofErr w:type="spellEnd"/>
      <w:r w:rsidRPr="00150B28">
        <w:rPr>
          <w:rFonts w:asciiTheme="majorHAnsi" w:eastAsia="Times New Roman" w:hAnsiTheme="majorHAnsi" w:cstheme="majorHAnsi"/>
          <w:szCs w:val="24"/>
          <w:lang w:eastAsia="es-MX"/>
        </w:rPr>
        <w:t xml:space="preserve"> mental </w:t>
      </w:r>
      <w:proofErr w:type="spellStart"/>
      <w:r w:rsidRPr="00150B28">
        <w:rPr>
          <w:rFonts w:asciiTheme="majorHAnsi" w:eastAsia="Times New Roman" w:hAnsiTheme="majorHAnsi" w:cstheme="majorHAnsi"/>
          <w:szCs w:val="24"/>
          <w:lang w:eastAsia="es-MX"/>
        </w:rPr>
        <w:t>health</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among</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young</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university</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students</w:t>
      </w:r>
      <w:proofErr w:type="spellEnd"/>
      <w:r w:rsidRPr="00150B28">
        <w:rPr>
          <w:rFonts w:asciiTheme="majorHAnsi" w:eastAsia="Times New Roman" w:hAnsiTheme="majorHAnsi" w:cstheme="majorHAnsi"/>
          <w:szCs w:val="24"/>
          <w:lang w:eastAsia="es-MX"/>
        </w:rPr>
        <w:t xml:space="preserve"> in Cali, Colombia). </w:t>
      </w:r>
      <w:r w:rsidRPr="00150B28">
        <w:rPr>
          <w:rFonts w:asciiTheme="majorHAnsi" w:eastAsia="Times New Roman" w:hAnsiTheme="majorHAnsi" w:cstheme="majorHAnsi"/>
          <w:i/>
          <w:iCs/>
          <w:szCs w:val="24"/>
          <w:lang w:eastAsia="es-MX"/>
        </w:rPr>
        <w:t>Retos</w:t>
      </w:r>
      <w:r w:rsidRPr="00150B28">
        <w:rPr>
          <w:rFonts w:asciiTheme="majorHAnsi" w:eastAsia="Times New Roman" w:hAnsiTheme="majorHAnsi" w:cstheme="majorHAnsi"/>
          <w:szCs w:val="24"/>
          <w:lang w:eastAsia="es-MX"/>
        </w:rPr>
        <w:t xml:space="preserve">, 59, 1018–1025. </w:t>
      </w:r>
      <w:hyperlink r:id="rId17" w:tgtFrame="_new" w:history="1">
        <w:r w:rsidRPr="00150B28">
          <w:rPr>
            <w:rFonts w:asciiTheme="majorHAnsi" w:eastAsia="Times New Roman" w:hAnsiTheme="majorHAnsi" w:cstheme="majorHAnsi"/>
            <w:color w:val="0000FF"/>
            <w:szCs w:val="24"/>
            <w:u w:val="single"/>
            <w:lang w:eastAsia="es-MX"/>
          </w:rPr>
          <w:t>https://doi.org/10.47197/retos.v59.104601</w:t>
        </w:r>
      </w:hyperlink>
    </w:p>
    <w:p w14:paraId="2BC6CC83"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Cruz, V. (2022). Prevalencia de ansiedad y factores académicos relacionados en estudiantes de una Facultad de Medicina de El Salvador año 2021. </w:t>
      </w:r>
      <w:r w:rsidRPr="00150B28">
        <w:rPr>
          <w:rFonts w:asciiTheme="majorHAnsi" w:eastAsia="Times New Roman" w:hAnsiTheme="majorHAnsi" w:cstheme="majorHAnsi"/>
          <w:i/>
          <w:iCs/>
          <w:szCs w:val="24"/>
          <w:lang w:eastAsia="es-MX"/>
        </w:rPr>
        <w:t>Revista científica Crea Ciencia</w:t>
      </w:r>
      <w:r w:rsidRPr="00150B28">
        <w:rPr>
          <w:rFonts w:asciiTheme="majorHAnsi" w:eastAsia="Times New Roman" w:hAnsiTheme="majorHAnsi" w:cstheme="majorHAnsi"/>
          <w:szCs w:val="24"/>
          <w:lang w:eastAsia="es-MX"/>
        </w:rPr>
        <w:t xml:space="preserve">, 15(1), 72-89. Universidad Evangélica de El Salvador. </w:t>
      </w:r>
      <w:hyperlink r:id="rId18" w:tgtFrame="_new" w:history="1">
        <w:r w:rsidRPr="00150B28">
          <w:rPr>
            <w:rStyle w:val="Hipervnculo"/>
            <w:rFonts w:asciiTheme="majorHAnsi" w:eastAsia="Times New Roman" w:hAnsiTheme="majorHAnsi" w:cstheme="majorHAnsi"/>
            <w:szCs w:val="24"/>
            <w:lang w:eastAsia="es-MX"/>
          </w:rPr>
          <w:t>https://doi.org/10.5377/creaciencia.v15i1.15712</w:t>
        </w:r>
      </w:hyperlink>
    </w:p>
    <w:p w14:paraId="04A07A23"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Furlan, L. A., Ferrero, M. J., &amp; Gallart, G. (2014). Ansiedad ante los exámenes, procrastinación y síntomas mentales en estudiantes de la Universidad Nacional de Córdoba. </w:t>
      </w:r>
      <w:r w:rsidRPr="00150B28">
        <w:rPr>
          <w:rFonts w:asciiTheme="majorHAnsi" w:eastAsia="Times New Roman" w:hAnsiTheme="majorHAnsi" w:cstheme="majorHAnsi"/>
          <w:i/>
          <w:iCs/>
          <w:szCs w:val="24"/>
          <w:lang w:eastAsia="es-MX"/>
        </w:rPr>
        <w:t>Revista Argentina de Ciencias del Comportamiento</w:t>
      </w:r>
      <w:r w:rsidRPr="00150B28">
        <w:rPr>
          <w:rFonts w:asciiTheme="majorHAnsi" w:eastAsia="Times New Roman" w:hAnsiTheme="majorHAnsi" w:cstheme="majorHAnsi"/>
          <w:szCs w:val="24"/>
          <w:lang w:eastAsia="es-MX"/>
        </w:rPr>
        <w:t>, 6(3), 31-39. Universidad Nacional de Córdoba.</w:t>
      </w:r>
    </w:p>
    <w:p w14:paraId="1B7A3B34"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García Suárez, J., Guzmán Martínez, M., &amp; Monje Parrilla, F. J. (2023). Estudio descriptivo de la ansiedad matemática en estudiantes mexicanos de ingeniería. </w:t>
      </w:r>
      <w:r w:rsidRPr="00150B28">
        <w:rPr>
          <w:rFonts w:asciiTheme="majorHAnsi" w:eastAsia="Times New Roman" w:hAnsiTheme="majorHAnsi" w:cstheme="majorHAnsi"/>
          <w:i/>
          <w:iCs/>
          <w:szCs w:val="24"/>
          <w:lang w:eastAsia="es-MX"/>
        </w:rPr>
        <w:t>IE Revista de Investigación Educativa de la REDIECH, 14</w:t>
      </w:r>
      <w:r w:rsidRPr="00150B28">
        <w:rPr>
          <w:rFonts w:asciiTheme="majorHAnsi" w:eastAsia="Times New Roman" w:hAnsiTheme="majorHAnsi" w:cstheme="majorHAnsi"/>
          <w:szCs w:val="24"/>
          <w:lang w:eastAsia="es-MX"/>
        </w:rPr>
        <w:t xml:space="preserve">, e1619. </w:t>
      </w:r>
      <w:hyperlink r:id="rId19" w:tgtFrame="_new" w:history="1">
        <w:r w:rsidRPr="00150B28">
          <w:rPr>
            <w:rStyle w:val="Hipervnculo"/>
            <w:rFonts w:asciiTheme="majorHAnsi" w:eastAsia="Times New Roman" w:hAnsiTheme="majorHAnsi" w:cstheme="majorHAnsi"/>
            <w:szCs w:val="24"/>
            <w:lang w:eastAsia="es-MX"/>
          </w:rPr>
          <w:t>https://doi.org/10.33010/ie_rie_rediech.v14i0.1619</w:t>
        </w:r>
      </w:hyperlink>
    </w:p>
    <w:p w14:paraId="3B3DECFE"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color w:val="0000FF"/>
          <w:szCs w:val="24"/>
          <w:u w:val="single"/>
          <w:lang w:eastAsia="es-MX"/>
        </w:rPr>
      </w:pPr>
      <w:r w:rsidRPr="00150B28">
        <w:rPr>
          <w:rFonts w:asciiTheme="majorHAnsi" w:eastAsia="Times New Roman" w:hAnsiTheme="majorHAnsi" w:cstheme="majorHAnsi"/>
          <w:szCs w:val="24"/>
          <w:lang w:eastAsia="es-MX"/>
        </w:rPr>
        <w:t xml:space="preserve">González Correa, A., &amp; Hernández Ramírez, E. M. (2017). Diferencias entre los niveles de ansiedad en estudiantes de pregrado de ingeniería de la Universidad de Antioquia, 2017. </w:t>
      </w:r>
      <w:r w:rsidRPr="00150B28">
        <w:rPr>
          <w:rFonts w:asciiTheme="majorHAnsi" w:eastAsia="Times New Roman" w:hAnsiTheme="majorHAnsi" w:cstheme="majorHAnsi"/>
          <w:i/>
          <w:iCs/>
          <w:szCs w:val="24"/>
          <w:lang w:eastAsia="es-MX"/>
        </w:rPr>
        <w:t>Congresos CLABES</w:t>
      </w:r>
      <w:r w:rsidRPr="00150B28">
        <w:rPr>
          <w:rFonts w:asciiTheme="majorHAnsi" w:eastAsia="Times New Roman" w:hAnsiTheme="majorHAnsi" w:cstheme="majorHAnsi"/>
          <w:szCs w:val="24"/>
          <w:lang w:eastAsia="es-MX"/>
        </w:rPr>
        <w:t xml:space="preserve">. </w:t>
      </w:r>
      <w:hyperlink r:id="rId20" w:tgtFrame="_new" w:history="1">
        <w:r w:rsidRPr="00150B28">
          <w:rPr>
            <w:rFonts w:asciiTheme="majorHAnsi" w:eastAsia="Times New Roman" w:hAnsiTheme="majorHAnsi" w:cstheme="majorHAnsi"/>
            <w:color w:val="0000FF"/>
            <w:szCs w:val="24"/>
            <w:u w:val="single"/>
            <w:lang w:eastAsia="es-MX"/>
          </w:rPr>
          <w:t>https://revistas.utp.ac.pa/index.php/clabes/article/view/1678</w:t>
        </w:r>
      </w:hyperlink>
    </w:p>
    <w:p w14:paraId="51B9A177"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González </w:t>
      </w:r>
      <w:proofErr w:type="spellStart"/>
      <w:r w:rsidRPr="00150B28">
        <w:rPr>
          <w:rFonts w:asciiTheme="majorHAnsi" w:eastAsia="Times New Roman" w:hAnsiTheme="majorHAnsi" w:cstheme="majorHAnsi"/>
          <w:szCs w:val="24"/>
          <w:lang w:eastAsia="es-MX"/>
        </w:rPr>
        <w:t>Jaimes</w:t>
      </w:r>
      <w:proofErr w:type="spellEnd"/>
      <w:r w:rsidRPr="00150B28">
        <w:rPr>
          <w:rFonts w:asciiTheme="majorHAnsi" w:eastAsia="Times New Roman" w:hAnsiTheme="majorHAnsi" w:cstheme="majorHAnsi"/>
          <w:szCs w:val="24"/>
          <w:lang w:eastAsia="es-MX"/>
        </w:rPr>
        <w:t xml:space="preserve">, N. L., Tejeda Alcántara, A. A., Espinosa Méndez, C. M., &amp; Ontiveros Hernández, Z. O. (2020). Impacto psicológico en universitarios mexicanos por el confinamiento durante la pandemia de Covid-19. </w:t>
      </w:r>
      <w:r w:rsidRPr="00150B28">
        <w:rPr>
          <w:rFonts w:asciiTheme="majorHAnsi" w:eastAsia="Times New Roman" w:hAnsiTheme="majorHAnsi" w:cstheme="majorHAnsi"/>
          <w:i/>
          <w:iCs/>
          <w:szCs w:val="24"/>
          <w:lang w:eastAsia="es-MX"/>
        </w:rPr>
        <w:t>Preimpresiones SciELO</w:t>
      </w:r>
      <w:r w:rsidRPr="00150B28">
        <w:rPr>
          <w:rFonts w:asciiTheme="majorHAnsi" w:eastAsia="Times New Roman" w:hAnsiTheme="majorHAnsi" w:cstheme="majorHAnsi"/>
          <w:szCs w:val="24"/>
          <w:lang w:eastAsia="es-MX"/>
        </w:rPr>
        <w:t>.</w:t>
      </w:r>
    </w:p>
    <w:p w14:paraId="59744039"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Grandis, A. (2009). Evaluación de la ansiedad frente a los exámenes universitarios [Tesis de doctorado, Universidad Nacional de Córdoba, Facultad de Ciencias Médicas]. Córdoba, Argentina. ID: lil-583556.</w:t>
      </w:r>
    </w:p>
    <w:p w14:paraId="5BD0BD6C"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lastRenderedPageBreak/>
        <w:t xml:space="preserve">Grases Colom, G., &amp; Rigo </w:t>
      </w:r>
      <w:proofErr w:type="spellStart"/>
      <w:r w:rsidRPr="00150B28">
        <w:rPr>
          <w:rFonts w:asciiTheme="majorHAnsi" w:eastAsia="Times New Roman" w:hAnsiTheme="majorHAnsi" w:cstheme="majorHAnsi"/>
          <w:szCs w:val="24"/>
          <w:lang w:eastAsia="es-MX"/>
        </w:rPr>
        <w:t>Carratalà</w:t>
      </w:r>
      <w:proofErr w:type="spellEnd"/>
      <w:r w:rsidRPr="00150B28">
        <w:rPr>
          <w:rFonts w:asciiTheme="majorHAnsi" w:eastAsia="Times New Roman" w:hAnsiTheme="majorHAnsi" w:cstheme="majorHAnsi"/>
          <w:szCs w:val="24"/>
          <w:lang w:eastAsia="es-MX"/>
        </w:rPr>
        <w:t xml:space="preserve">, E. (2010). Estudio de la influencia de la ansiedad y el estrés en el rendimiento académico vs. la influencia del rendimiento académico en los niveles de ansiedad y estrés. </w:t>
      </w:r>
      <w:proofErr w:type="spellStart"/>
      <w:r w:rsidRPr="00150B28">
        <w:rPr>
          <w:rFonts w:asciiTheme="majorHAnsi" w:eastAsia="Times New Roman" w:hAnsiTheme="majorHAnsi" w:cstheme="majorHAnsi"/>
          <w:i/>
          <w:iCs/>
          <w:szCs w:val="24"/>
          <w:lang w:eastAsia="es-MX"/>
        </w:rPr>
        <w:t>Educació</w:t>
      </w:r>
      <w:proofErr w:type="spellEnd"/>
      <w:r w:rsidRPr="00150B28">
        <w:rPr>
          <w:rFonts w:asciiTheme="majorHAnsi" w:eastAsia="Times New Roman" w:hAnsiTheme="majorHAnsi" w:cstheme="majorHAnsi"/>
          <w:i/>
          <w:iCs/>
          <w:szCs w:val="24"/>
          <w:lang w:eastAsia="es-MX"/>
        </w:rPr>
        <w:t xml:space="preserve"> i cultura. Revista mallorquina de pedagogía</w:t>
      </w:r>
      <w:r w:rsidRPr="00150B28">
        <w:rPr>
          <w:rFonts w:asciiTheme="majorHAnsi" w:eastAsia="Times New Roman" w:hAnsiTheme="majorHAnsi" w:cstheme="majorHAnsi"/>
          <w:szCs w:val="24"/>
          <w:lang w:eastAsia="es-MX"/>
        </w:rPr>
        <w:t>, (21), 97-116.</w:t>
      </w:r>
    </w:p>
    <w:p w14:paraId="71FFB598"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val="en-US" w:eastAsia="es-MX"/>
        </w:rPr>
      </w:pPr>
      <w:r w:rsidRPr="00150B28">
        <w:rPr>
          <w:rFonts w:asciiTheme="majorHAnsi" w:eastAsia="Times New Roman" w:hAnsiTheme="majorHAnsi" w:cstheme="majorHAnsi"/>
          <w:szCs w:val="24"/>
          <w:lang w:eastAsia="es-MX"/>
        </w:rPr>
        <w:t xml:space="preserve">Hjorth, C., Bilgrav, L., Frandsen, L., Overgaard, C., Torp-Pedersen, C., Nielsen, B., &amp; Bøggild, H. (2016). </w:t>
      </w:r>
      <w:r w:rsidRPr="00150B28">
        <w:rPr>
          <w:rFonts w:asciiTheme="majorHAnsi" w:eastAsia="Times New Roman" w:hAnsiTheme="majorHAnsi" w:cstheme="majorHAnsi"/>
          <w:szCs w:val="24"/>
          <w:lang w:val="en-US" w:eastAsia="es-MX"/>
        </w:rPr>
        <w:t xml:space="preserve">Mental health and school dropout across educational levels and gender: A </w:t>
      </w:r>
      <w:proofErr w:type="gramStart"/>
      <w:r w:rsidRPr="00150B28">
        <w:rPr>
          <w:rFonts w:asciiTheme="majorHAnsi" w:eastAsia="Times New Roman" w:hAnsiTheme="majorHAnsi" w:cstheme="majorHAnsi"/>
          <w:szCs w:val="24"/>
          <w:lang w:val="en-US" w:eastAsia="es-MX"/>
        </w:rPr>
        <w:t>4.8 year</w:t>
      </w:r>
      <w:proofErr w:type="gramEnd"/>
      <w:r w:rsidRPr="00150B28">
        <w:rPr>
          <w:rFonts w:asciiTheme="majorHAnsi" w:eastAsia="Times New Roman" w:hAnsiTheme="majorHAnsi" w:cstheme="majorHAnsi"/>
          <w:szCs w:val="24"/>
          <w:lang w:val="en-US" w:eastAsia="es-MX"/>
        </w:rPr>
        <w:t xml:space="preserve"> follow-up study. </w:t>
      </w:r>
      <w:r w:rsidRPr="00150B28">
        <w:rPr>
          <w:rFonts w:asciiTheme="majorHAnsi" w:eastAsia="Times New Roman" w:hAnsiTheme="majorHAnsi" w:cstheme="majorHAnsi"/>
          <w:i/>
          <w:iCs/>
          <w:szCs w:val="24"/>
          <w:lang w:val="en-US" w:eastAsia="es-MX"/>
        </w:rPr>
        <w:t>BMC Public Health, 16</w:t>
      </w:r>
      <w:r w:rsidRPr="00150B28">
        <w:rPr>
          <w:rFonts w:asciiTheme="majorHAnsi" w:eastAsia="Times New Roman" w:hAnsiTheme="majorHAnsi" w:cstheme="majorHAnsi"/>
          <w:szCs w:val="24"/>
          <w:lang w:val="en-US" w:eastAsia="es-MX"/>
        </w:rPr>
        <w:t xml:space="preserve">, 976. </w:t>
      </w:r>
      <w:hyperlink r:id="rId21" w:history="1">
        <w:r w:rsidRPr="00150B28">
          <w:rPr>
            <w:rStyle w:val="Hipervnculo"/>
            <w:rFonts w:asciiTheme="majorHAnsi" w:eastAsia="Times New Roman" w:hAnsiTheme="majorHAnsi" w:cstheme="majorHAnsi"/>
            <w:szCs w:val="24"/>
            <w:lang w:val="en-US" w:eastAsia="es-MX"/>
          </w:rPr>
          <w:t>https://doi.org/10.1186/s12889-016-3622-8</w:t>
        </w:r>
      </w:hyperlink>
      <w:r w:rsidRPr="00150B28">
        <w:rPr>
          <w:rFonts w:asciiTheme="majorHAnsi" w:eastAsia="Times New Roman" w:hAnsiTheme="majorHAnsi" w:cstheme="majorHAnsi"/>
          <w:szCs w:val="24"/>
          <w:lang w:val="en-US" w:eastAsia="es-MX"/>
        </w:rPr>
        <w:t xml:space="preserve"> </w:t>
      </w:r>
    </w:p>
    <w:p w14:paraId="79E66E7E"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val="en-US" w:eastAsia="es-MX"/>
        </w:rPr>
        <w:t xml:space="preserve">Lang, P. J. (1968). Fear reduction and fear behavior: Problems in treating a construct. En J. M. </w:t>
      </w:r>
      <w:proofErr w:type="spellStart"/>
      <w:r w:rsidRPr="00150B28">
        <w:rPr>
          <w:rFonts w:asciiTheme="majorHAnsi" w:eastAsia="Times New Roman" w:hAnsiTheme="majorHAnsi" w:cstheme="majorHAnsi"/>
          <w:szCs w:val="24"/>
          <w:lang w:val="en-US" w:eastAsia="es-MX"/>
        </w:rPr>
        <w:t>Shlien</w:t>
      </w:r>
      <w:proofErr w:type="spellEnd"/>
      <w:r w:rsidRPr="00150B28">
        <w:rPr>
          <w:rFonts w:asciiTheme="majorHAnsi" w:eastAsia="Times New Roman" w:hAnsiTheme="majorHAnsi" w:cstheme="majorHAnsi"/>
          <w:szCs w:val="24"/>
          <w:lang w:val="en-US" w:eastAsia="es-MX"/>
        </w:rPr>
        <w:t xml:space="preserve"> (Ed.), </w:t>
      </w:r>
      <w:r w:rsidRPr="00150B28">
        <w:rPr>
          <w:rFonts w:asciiTheme="majorHAnsi" w:eastAsia="Times New Roman" w:hAnsiTheme="majorHAnsi" w:cstheme="majorHAnsi"/>
          <w:i/>
          <w:iCs/>
          <w:szCs w:val="24"/>
          <w:lang w:val="en-US" w:eastAsia="es-MX"/>
        </w:rPr>
        <w:t>Research in psychotherapy</w:t>
      </w:r>
      <w:r w:rsidRPr="00150B28">
        <w:rPr>
          <w:rFonts w:asciiTheme="majorHAnsi" w:eastAsia="Times New Roman" w:hAnsiTheme="majorHAnsi" w:cstheme="majorHAnsi"/>
          <w:szCs w:val="24"/>
          <w:lang w:val="en-US" w:eastAsia="es-MX"/>
        </w:rPr>
        <w:t xml:space="preserve"> (pp. 90-102). American Psychological Association. </w:t>
      </w:r>
      <w:hyperlink r:id="rId22" w:tgtFrame="_new" w:history="1">
        <w:r w:rsidRPr="00150B28">
          <w:rPr>
            <w:rFonts w:asciiTheme="majorHAnsi" w:eastAsia="Times New Roman" w:hAnsiTheme="majorHAnsi" w:cstheme="majorHAnsi"/>
            <w:color w:val="0000FF"/>
            <w:szCs w:val="24"/>
            <w:u w:val="single"/>
            <w:lang w:eastAsia="es-MX"/>
          </w:rPr>
          <w:t>https://doi.org/10.1037/10546-004</w:t>
        </w:r>
      </w:hyperlink>
    </w:p>
    <w:p w14:paraId="1829D5BB"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proofErr w:type="spellStart"/>
      <w:r w:rsidRPr="00150B28">
        <w:rPr>
          <w:rFonts w:asciiTheme="majorHAnsi" w:eastAsia="Times New Roman" w:hAnsiTheme="majorHAnsi" w:cstheme="majorHAnsi"/>
          <w:szCs w:val="24"/>
          <w:lang w:eastAsia="es-MX"/>
        </w:rPr>
        <w:t>Larracilla</w:t>
      </w:r>
      <w:proofErr w:type="spellEnd"/>
      <w:r w:rsidRPr="00150B28">
        <w:rPr>
          <w:rFonts w:asciiTheme="majorHAnsi" w:eastAsia="Times New Roman" w:hAnsiTheme="majorHAnsi" w:cstheme="majorHAnsi"/>
          <w:szCs w:val="24"/>
          <w:lang w:eastAsia="es-MX"/>
        </w:rPr>
        <w:t xml:space="preserve"> Salazar, N., Moreno García, E., &amp; García Santillán, A. (2019). Factores que explican la ansiedad hacia las matemáticas en estudiantes de Economía en México. </w:t>
      </w:r>
      <w:r w:rsidRPr="00150B28">
        <w:rPr>
          <w:rFonts w:asciiTheme="majorHAnsi" w:eastAsia="Times New Roman" w:hAnsiTheme="majorHAnsi" w:cstheme="majorHAnsi"/>
          <w:i/>
          <w:iCs/>
          <w:szCs w:val="24"/>
          <w:lang w:eastAsia="es-MX"/>
        </w:rPr>
        <w:t>Investigación Administrativa</w:t>
      </w:r>
      <w:r w:rsidRPr="00150B28">
        <w:rPr>
          <w:rFonts w:asciiTheme="majorHAnsi" w:eastAsia="Times New Roman" w:hAnsiTheme="majorHAnsi" w:cstheme="majorHAnsi"/>
          <w:szCs w:val="24"/>
          <w:lang w:eastAsia="es-MX"/>
        </w:rPr>
        <w:t xml:space="preserve">, 48(124). </w:t>
      </w:r>
      <w:hyperlink r:id="rId23" w:tgtFrame="_new" w:history="1">
        <w:r w:rsidRPr="00150B28">
          <w:rPr>
            <w:rFonts w:asciiTheme="majorHAnsi" w:eastAsia="Times New Roman" w:hAnsiTheme="majorHAnsi" w:cstheme="majorHAnsi"/>
            <w:color w:val="0000FF"/>
            <w:szCs w:val="24"/>
            <w:u w:val="single"/>
            <w:lang w:eastAsia="es-MX"/>
          </w:rPr>
          <w:t>https://doi.org/10.22201/fca.18706614e.2019.124.56137</w:t>
        </w:r>
      </w:hyperlink>
    </w:p>
    <w:p w14:paraId="17F92773"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Méndez Gutiérrez, E., &amp; Navarro Segura, M. C. (2021). La ansiedad y el riesgo de deserción universitaria en jóvenes entre 18-24 años de los primeros semestres académicos de la Universidad del Sinú Seccional Cartagena [Trabajo para optar el título de psicóloga, Universidad del Sinú Elías Bechara Zainúm - Seccional Cartagena]. </w:t>
      </w:r>
      <w:hyperlink r:id="rId24" w:tgtFrame="_new" w:history="1">
        <w:r w:rsidRPr="00150B28">
          <w:rPr>
            <w:rFonts w:asciiTheme="majorHAnsi" w:eastAsia="Times New Roman" w:hAnsiTheme="majorHAnsi" w:cstheme="majorHAnsi"/>
            <w:color w:val="0000FF"/>
            <w:szCs w:val="24"/>
            <w:u w:val="single"/>
            <w:lang w:eastAsia="es-MX"/>
          </w:rPr>
          <w:t>http://repositorio.unisinucartagena.edu.co:8080/xmlui/handle/123456789/137</w:t>
        </w:r>
      </w:hyperlink>
    </w:p>
    <w:p w14:paraId="4C6B2950"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Merchán-Villafuerte, K., Quiroz-Villamar, D., &amp; Saltos-Alcívar, V. (2024). Impacto de la ansiedad, depresión y estrés post pandémico en el desempeño académico de estudiantes universitarios. </w:t>
      </w:r>
      <w:proofErr w:type="spellStart"/>
      <w:r w:rsidRPr="00150B28">
        <w:rPr>
          <w:rFonts w:asciiTheme="majorHAnsi" w:eastAsia="Times New Roman" w:hAnsiTheme="majorHAnsi" w:cstheme="majorHAnsi"/>
          <w:i/>
          <w:iCs/>
          <w:szCs w:val="24"/>
          <w:lang w:eastAsia="es-MX"/>
        </w:rPr>
        <w:t>MQRInvestigar</w:t>
      </w:r>
      <w:proofErr w:type="spellEnd"/>
      <w:r w:rsidRPr="00150B28">
        <w:rPr>
          <w:rFonts w:asciiTheme="majorHAnsi" w:eastAsia="Times New Roman" w:hAnsiTheme="majorHAnsi" w:cstheme="majorHAnsi"/>
          <w:szCs w:val="24"/>
          <w:lang w:eastAsia="es-MX"/>
        </w:rPr>
        <w:t xml:space="preserve">, 8, 3471-3492. </w:t>
      </w:r>
      <w:hyperlink r:id="rId25" w:tgtFrame="_new" w:history="1">
        <w:r w:rsidRPr="00150B28">
          <w:rPr>
            <w:rFonts w:asciiTheme="majorHAnsi" w:eastAsia="Times New Roman" w:hAnsiTheme="majorHAnsi" w:cstheme="majorHAnsi"/>
            <w:color w:val="0000FF"/>
            <w:szCs w:val="24"/>
            <w:u w:val="single"/>
            <w:lang w:eastAsia="es-MX"/>
          </w:rPr>
          <w:t>https://doi.org/10.56048/MQR20225.8.1.2024.3471-3492</w:t>
        </w:r>
      </w:hyperlink>
    </w:p>
    <w:p w14:paraId="461CC74A"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Sierra, J. C., Ortega, V., &amp; </w:t>
      </w:r>
      <w:proofErr w:type="spellStart"/>
      <w:r w:rsidRPr="00150B28">
        <w:rPr>
          <w:rFonts w:asciiTheme="majorHAnsi" w:eastAsia="Times New Roman" w:hAnsiTheme="majorHAnsi" w:cstheme="majorHAnsi"/>
          <w:szCs w:val="24"/>
          <w:lang w:eastAsia="es-MX"/>
        </w:rPr>
        <w:t>Zubeidat</w:t>
      </w:r>
      <w:proofErr w:type="spellEnd"/>
      <w:r w:rsidRPr="00150B28">
        <w:rPr>
          <w:rFonts w:asciiTheme="majorHAnsi" w:eastAsia="Times New Roman" w:hAnsiTheme="majorHAnsi" w:cstheme="majorHAnsi"/>
          <w:szCs w:val="24"/>
          <w:lang w:eastAsia="es-MX"/>
        </w:rPr>
        <w:t xml:space="preserve">, I. (2003). Ansiedad, angustia y estrés: tres conceptos a diferenciar. </w:t>
      </w:r>
      <w:r w:rsidRPr="00150B28">
        <w:rPr>
          <w:rFonts w:asciiTheme="majorHAnsi" w:eastAsia="Times New Roman" w:hAnsiTheme="majorHAnsi" w:cstheme="majorHAnsi"/>
          <w:i/>
          <w:iCs/>
          <w:szCs w:val="24"/>
          <w:lang w:eastAsia="es-MX"/>
        </w:rPr>
        <w:t xml:space="preserve">Revista Mal Estar e </w:t>
      </w:r>
      <w:proofErr w:type="spellStart"/>
      <w:r w:rsidRPr="00150B28">
        <w:rPr>
          <w:rFonts w:asciiTheme="majorHAnsi" w:eastAsia="Times New Roman" w:hAnsiTheme="majorHAnsi" w:cstheme="majorHAnsi"/>
          <w:i/>
          <w:iCs/>
          <w:szCs w:val="24"/>
          <w:lang w:eastAsia="es-MX"/>
        </w:rPr>
        <w:t>Subjetividade</w:t>
      </w:r>
      <w:proofErr w:type="spellEnd"/>
      <w:r w:rsidRPr="00150B28">
        <w:rPr>
          <w:rFonts w:asciiTheme="majorHAnsi" w:eastAsia="Times New Roman" w:hAnsiTheme="majorHAnsi" w:cstheme="majorHAnsi"/>
          <w:szCs w:val="24"/>
          <w:lang w:eastAsia="es-MX"/>
        </w:rPr>
        <w:t>, 3(1), 10-59.</w:t>
      </w:r>
    </w:p>
    <w:p w14:paraId="59164AEE"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color w:val="0000FF"/>
          <w:szCs w:val="24"/>
          <w:u w:val="single"/>
          <w:lang w:eastAsia="es-MX"/>
        </w:rPr>
      </w:pPr>
      <w:r w:rsidRPr="00150B28">
        <w:rPr>
          <w:rFonts w:asciiTheme="majorHAnsi" w:eastAsia="Times New Roman" w:hAnsiTheme="majorHAnsi" w:cstheme="majorHAnsi"/>
          <w:szCs w:val="24"/>
          <w:lang w:eastAsia="es-MX"/>
        </w:rPr>
        <w:t xml:space="preserve">Vera Cala, L. M., Niño García, A. J., Porras Saldarriaga, M. A., Durán Saldoval, N. J., Delgado Chávez, A. P., Caballero Badillo, C. M., &amp; Navarro Rueda, P. J. (2020). Salud mental y deserción en una población universitaria con bajo rendimiento académico. </w:t>
      </w:r>
      <w:r w:rsidRPr="00150B28">
        <w:rPr>
          <w:rFonts w:asciiTheme="majorHAnsi" w:eastAsia="Times New Roman" w:hAnsiTheme="majorHAnsi" w:cstheme="majorHAnsi"/>
          <w:i/>
          <w:iCs/>
          <w:szCs w:val="24"/>
          <w:lang w:eastAsia="es-MX"/>
        </w:rPr>
        <w:t>Revista Virtual Universidad Católica del Norte</w:t>
      </w:r>
      <w:r w:rsidRPr="00150B28">
        <w:rPr>
          <w:rFonts w:asciiTheme="majorHAnsi" w:eastAsia="Times New Roman" w:hAnsiTheme="majorHAnsi" w:cstheme="majorHAnsi"/>
          <w:szCs w:val="24"/>
          <w:lang w:eastAsia="es-MX"/>
        </w:rPr>
        <w:t xml:space="preserve">, 60, 137-158. </w:t>
      </w:r>
      <w:hyperlink r:id="rId26" w:tgtFrame="_new" w:history="1">
        <w:r w:rsidRPr="00150B28">
          <w:rPr>
            <w:rFonts w:asciiTheme="majorHAnsi" w:eastAsia="Times New Roman" w:hAnsiTheme="majorHAnsi" w:cstheme="majorHAnsi"/>
            <w:color w:val="0000FF"/>
            <w:szCs w:val="24"/>
            <w:u w:val="single"/>
            <w:lang w:eastAsia="es-MX"/>
          </w:rPr>
          <w:t>https://www.redalyc.org/jatsRepo/1942/194263234008/html/index.html</w:t>
        </w:r>
      </w:hyperlink>
    </w:p>
    <w:p w14:paraId="47457FA0"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Vila-Toscano, J. H., Hoyos Pacheco, S. L., González, D. P., &amp; Cabrales Polo, A. (2011). Relación entre ansiedad ante los exámenes, tipos de pruebas y rendimiento académico en estudiantes universitarios. *</w:t>
      </w:r>
      <w:proofErr w:type="spellStart"/>
      <w:r w:rsidRPr="00150B28">
        <w:rPr>
          <w:rFonts w:asciiTheme="majorHAnsi" w:eastAsia="Times New Roman" w:hAnsiTheme="majorHAnsi" w:cstheme="majorHAnsi"/>
          <w:szCs w:val="24"/>
          <w:lang w:eastAsia="es-MX"/>
        </w:rPr>
        <w:t>Psicogente</w:t>
      </w:r>
      <w:proofErr w:type="spellEnd"/>
      <w:r w:rsidRPr="00150B28">
        <w:rPr>
          <w:rFonts w:asciiTheme="majorHAnsi" w:eastAsia="Times New Roman" w:hAnsiTheme="majorHAnsi" w:cstheme="majorHAnsi"/>
          <w:szCs w:val="24"/>
          <w:lang w:eastAsia="es-MX"/>
        </w:rPr>
        <w:t xml:space="preserve">*, *14*(26), 255-268. </w:t>
      </w:r>
      <w:hyperlink r:id="rId27" w:history="1">
        <w:r w:rsidRPr="00150B28">
          <w:rPr>
            <w:rStyle w:val="Hipervnculo"/>
            <w:rFonts w:asciiTheme="majorHAnsi" w:eastAsia="Times New Roman" w:hAnsiTheme="majorHAnsi" w:cstheme="majorHAnsi"/>
            <w:szCs w:val="24"/>
            <w:lang w:eastAsia="es-MX"/>
          </w:rPr>
          <w:t>https://www.redalyc.org/articulo.oa?id=497552359004</w:t>
        </w:r>
      </w:hyperlink>
      <w:r w:rsidRPr="00150B28">
        <w:rPr>
          <w:rFonts w:asciiTheme="majorHAnsi" w:eastAsia="Times New Roman" w:hAnsiTheme="majorHAnsi" w:cstheme="majorHAnsi"/>
          <w:szCs w:val="24"/>
          <w:lang w:eastAsia="es-MX"/>
        </w:rPr>
        <w:t xml:space="preserve"> </w:t>
      </w:r>
    </w:p>
    <w:p w14:paraId="7E734D72" w14:textId="77777777" w:rsidR="00FA767C" w:rsidRPr="00150B28" w:rsidRDefault="00FA767C" w:rsidP="007F0B51">
      <w:pPr>
        <w:spacing w:after="0" w:line="240" w:lineRule="auto"/>
        <w:ind w:right="-7"/>
        <w:jc w:val="both"/>
        <w:rPr>
          <w:rFonts w:asciiTheme="majorHAnsi" w:hAnsiTheme="majorHAnsi" w:cstheme="majorHAnsi"/>
          <w:szCs w:val="24"/>
        </w:rPr>
      </w:pPr>
    </w:p>
    <w:p w14:paraId="447CF895" w14:textId="77777777" w:rsidR="00FA767C" w:rsidRPr="00150B28" w:rsidRDefault="00FA767C" w:rsidP="007F0B51">
      <w:pPr>
        <w:spacing w:after="0" w:line="240" w:lineRule="auto"/>
        <w:jc w:val="both"/>
        <w:rPr>
          <w:rFonts w:asciiTheme="majorHAnsi" w:hAnsiTheme="majorHAnsi" w:cstheme="majorHAnsi"/>
          <w:szCs w:val="24"/>
        </w:rPr>
      </w:pPr>
    </w:p>
    <w:sectPr w:rsidR="00FA767C" w:rsidRPr="00150B28" w:rsidSect="00C6687C">
      <w:footerReference w:type="default" r:id="rId28"/>
      <w:pgSz w:w="12240" w:h="15840"/>
      <w:pgMar w:top="1440" w:right="1080" w:bottom="1440" w:left="1080" w:header="68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D65D7" w14:textId="77777777" w:rsidR="00D16E65" w:rsidRDefault="00D16E65" w:rsidP="00D1767F">
      <w:pPr>
        <w:spacing w:after="0" w:line="240" w:lineRule="auto"/>
      </w:pPr>
      <w:r>
        <w:separator/>
      </w:r>
    </w:p>
  </w:endnote>
  <w:endnote w:type="continuationSeparator" w:id="0">
    <w:p w14:paraId="31B2019F" w14:textId="77777777" w:rsidR="00D16E65" w:rsidRDefault="00D16E65" w:rsidP="00D17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1F60" w14:textId="3841D2C7" w:rsidR="00C6687C" w:rsidRDefault="00C6687C" w:rsidP="00C6687C">
    <w:pPr>
      <w:pStyle w:val="Piedepgina"/>
      <w:jc w:val="center"/>
    </w:pPr>
    <w:r>
      <w:rPr>
        <w:rFonts w:ascii="Calibri" w:hAnsi="Calibri" w:cs="Calibri"/>
        <w:b/>
        <w:szCs w:val="20"/>
      </w:rPr>
      <w:t xml:space="preserve">Vol. 11, Núm. 22                  Julio – </w:t>
    </w:r>
    <w:proofErr w:type="gramStart"/>
    <w:r>
      <w:rPr>
        <w:rFonts w:ascii="Calibri" w:hAnsi="Calibri" w:cs="Calibri"/>
        <w:b/>
        <w:szCs w:val="20"/>
      </w:rPr>
      <w:t>Diciembre</w:t>
    </w:r>
    <w:proofErr w:type="gramEnd"/>
    <w:r>
      <w:rPr>
        <w:rFonts w:ascii="Calibri" w:hAnsi="Calibri" w:cs="Calibri"/>
        <w:b/>
        <w:szCs w:val="20"/>
      </w:rPr>
      <w:t xml:space="preserve"> 2024                       CEMYS</w:t>
    </w:r>
  </w:p>
  <w:p w14:paraId="188AB892" w14:textId="77777777" w:rsidR="00C6687C" w:rsidRDefault="00C668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037DA" w14:textId="77777777" w:rsidR="00D16E65" w:rsidRDefault="00D16E65" w:rsidP="00D1767F">
      <w:pPr>
        <w:spacing w:after="0" w:line="240" w:lineRule="auto"/>
      </w:pPr>
      <w:r>
        <w:separator/>
      </w:r>
    </w:p>
  </w:footnote>
  <w:footnote w:type="continuationSeparator" w:id="0">
    <w:p w14:paraId="508E9537" w14:textId="77777777" w:rsidR="00D16E65" w:rsidRDefault="00D16E65" w:rsidP="00D176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2F9773FC"/>
    <w:multiLevelType w:val="multilevel"/>
    <w:tmpl w:val="A6466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3738860">
    <w:abstractNumId w:val="8"/>
  </w:num>
  <w:num w:numId="2" w16cid:durableId="414933236">
    <w:abstractNumId w:val="6"/>
  </w:num>
  <w:num w:numId="3" w16cid:durableId="1352027429">
    <w:abstractNumId w:val="5"/>
  </w:num>
  <w:num w:numId="4" w16cid:durableId="1870751845">
    <w:abstractNumId w:val="4"/>
  </w:num>
  <w:num w:numId="5" w16cid:durableId="1692604284">
    <w:abstractNumId w:val="7"/>
  </w:num>
  <w:num w:numId="6" w16cid:durableId="62140124">
    <w:abstractNumId w:val="3"/>
  </w:num>
  <w:num w:numId="7" w16cid:durableId="272246778">
    <w:abstractNumId w:val="2"/>
  </w:num>
  <w:num w:numId="8" w16cid:durableId="473449191">
    <w:abstractNumId w:val="1"/>
  </w:num>
  <w:num w:numId="9" w16cid:durableId="203520259">
    <w:abstractNumId w:val="0"/>
  </w:num>
  <w:num w:numId="10" w16cid:durableId="15187333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C02"/>
    <w:rsid w:val="00034616"/>
    <w:rsid w:val="00034EEB"/>
    <w:rsid w:val="00037309"/>
    <w:rsid w:val="0006063C"/>
    <w:rsid w:val="0006172E"/>
    <w:rsid w:val="000802B8"/>
    <w:rsid w:val="000B727E"/>
    <w:rsid w:val="000B7BAA"/>
    <w:rsid w:val="00133856"/>
    <w:rsid w:val="00133DDA"/>
    <w:rsid w:val="0013539C"/>
    <w:rsid w:val="0015074B"/>
    <w:rsid w:val="00150B28"/>
    <w:rsid w:val="001710E1"/>
    <w:rsid w:val="001953D3"/>
    <w:rsid w:val="001A0FB8"/>
    <w:rsid w:val="0021172A"/>
    <w:rsid w:val="00212165"/>
    <w:rsid w:val="002465A5"/>
    <w:rsid w:val="0027365D"/>
    <w:rsid w:val="0029639D"/>
    <w:rsid w:val="00311772"/>
    <w:rsid w:val="00326F90"/>
    <w:rsid w:val="00357EED"/>
    <w:rsid w:val="003E320A"/>
    <w:rsid w:val="003E50C9"/>
    <w:rsid w:val="003F5552"/>
    <w:rsid w:val="004173ED"/>
    <w:rsid w:val="004316A3"/>
    <w:rsid w:val="0046102C"/>
    <w:rsid w:val="0046770D"/>
    <w:rsid w:val="004906CF"/>
    <w:rsid w:val="00505CFC"/>
    <w:rsid w:val="00576DEB"/>
    <w:rsid w:val="00604CD4"/>
    <w:rsid w:val="00605D96"/>
    <w:rsid w:val="006509D0"/>
    <w:rsid w:val="00660E06"/>
    <w:rsid w:val="00670699"/>
    <w:rsid w:val="00692975"/>
    <w:rsid w:val="006939E6"/>
    <w:rsid w:val="006C3FC4"/>
    <w:rsid w:val="006C45A8"/>
    <w:rsid w:val="00701339"/>
    <w:rsid w:val="007043F6"/>
    <w:rsid w:val="0074092E"/>
    <w:rsid w:val="00767DE2"/>
    <w:rsid w:val="00783EB1"/>
    <w:rsid w:val="00786193"/>
    <w:rsid w:val="00795419"/>
    <w:rsid w:val="007D0458"/>
    <w:rsid w:val="007D2EBE"/>
    <w:rsid w:val="007D3860"/>
    <w:rsid w:val="007F0B51"/>
    <w:rsid w:val="00860930"/>
    <w:rsid w:val="008C4099"/>
    <w:rsid w:val="008D24FC"/>
    <w:rsid w:val="008E276B"/>
    <w:rsid w:val="008F5185"/>
    <w:rsid w:val="008F600E"/>
    <w:rsid w:val="009333F5"/>
    <w:rsid w:val="009405A6"/>
    <w:rsid w:val="00995397"/>
    <w:rsid w:val="009B4001"/>
    <w:rsid w:val="009C1E28"/>
    <w:rsid w:val="009D0B45"/>
    <w:rsid w:val="009F7156"/>
    <w:rsid w:val="00A03E54"/>
    <w:rsid w:val="00A32E54"/>
    <w:rsid w:val="00A677C4"/>
    <w:rsid w:val="00A73752"/>
    <w:rsid w:val="00AA1D8D"/>
    <w:rsid w:val="00AF3E08"/>
    <w:rsid w:val="00B41C7E"/>
    <w:rsid w:val="00B47730"/>
    <w:rsid w:val="00C00548"/>
    <w:rsid w:val="00C2073F"/>
    <w:rsid w:val="00C20FF2"/>
    <w:rsid w:val="00C6687C"/>
    <w:rsid w:val="00C86EDA"/>
    <w:rsid w:val="00CB0664"/>
    <w:rsid w:val="00CF36B9"/>
    <w:rsid w:val="00D16E65"/>
    <w:rsid w:val="00D1767F"/>
    <w:rsid w:val="00D3234E"/>
    <w:rsid w:val="00D4506E"/>
    <w:rsid w:val="00D451F5"/>
    <w:rsid w:val="00D459E0"/>
    <w:rsid w:val="00D749A5"/>
    <w:rsid w:val="00DB4739"/>
    <w:rsid w:val="00DB7E60"/>
    <w:rsid w:val="00DC19B9"/>
    <w:rsid w:val="00DE1968"/>
    <w:rsid w:val="00E23801"/>
    <w:rsid w:val="00E44D74"/>
    <w:rsid w:val="00E5715C"/>
    <w:rsid w:val="00EB3520"/>
    <w:rsid w:val="00F05296"/>
    <w:rsid w:val="00F12F1B"/>
    <w:rsid w:val="00F241BC"/>
    <w:rsid w:val="00FA087C"/>
    <w:rsid w:val="00FA767C"/>
    <w:rsid w:val="00FC4132"/>
    <w:rsid w:val="00FC693F"/>
    <w:rsid w:val="00FD1998"/>
    <w:rsid w:val="00FF0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FA49B5"/>
  <w14:defaultImageDpi w14:val="300"/>
  <w15:docId w15:val="{BABE3F64-80F2-4E6F-9031-EB95E5F6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3F5"/>
    <w:rPr>
      <w:rFonts w:ascii="Arial" w:hAnsi="Arial"/>
      <w:sz w:val="24"/>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rPr>
      <w:rFonts w:ascii="Arial" w:hAnsi="Arial"/>
      <w:sz w:val="24"/>
    </w:r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Arial" w:hAnsi="Arial"/>
      <w:sz w:val="24"/>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rPr>
      <w:rFonts w:ascii="Arial" w:hAnsi="Arial"/>
    </w:r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4173ED"/>
    <w:rPr>
      <w:color w:val="0000FF" w:themeColor="hyperlink"/>
      <w:u w:val="single"/>
    </w:rPr>
  </w:style>
  <w:style w:type="character" w:styleId="Mencinsinresolver">
    <w:name w:val="Unresolved Mention"/>
    <w:basedOn w:val="Fuentedeprrafopredeter"/>
    <w:uiPriority w:val="99"/>
    <w:semiHidden/>
    <w:unhideWhenUsed/>
    <w:rsid w:val="004173ED"/>
    <w:rPr>
      <w:color w:val="605E5C"/>
      <w:shd w:val="clear" w:color="auto" w:fill="E1DFDD"/>
    </w:rPr>
  </w:style>
  <w:style w:type="paragraph" w:styleId="NormalWeb">
    <w:name w:val="Normal (Web)"/>
    <w:basedOn w:val="Normal"/>
    <w:uiPriority w:val="99"/>
    <w:unhideWhenUsed/>
    <w:rsid w:val="00FA767C"/>
    <w:pPr>
      <w:spacing w:before="100" w:beforeAutospacing="1" w:after="100" w:afterAutospacing="1" w:line="240" w:lineRule="auto"/>
    </w:pPr>
    <w:rPr>
      <w:rFonts w:ascii="Times New Roman" w:eastAsia="Times New Roman" w:hAnsi="Times New Roman" w:cs="Times New Roman"/>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14998">
      <w:bodyDiv w:val="1"/>
      <w:marLeft w:val="0"/>
      <w:marRight w:val="0"/>
      <w:marTop w:val="0"/>
      <w:marBottom w:val="0"/>
      <w:divBdr>
        <w:top w:val="none" w:sz="0" w:space="0" w:color="auto"/>
        <w:left w:val="none" w:sz="0" w:space="0" w:color="auto"/>
        <w:bottom w:val="none" w:sz="0" w:space="0" w:color="auto"/>
        <w:right w:val="none" w:sz="0" w:space="0" w:color="auto"/>
      </w:divBdr>
    </w:div>
    <w:div w:id="513568179">
      <w:bodyDiv w:val="1"/>
      <w:marLeft w:val="0"/>
      <w:marRight w:val="0"/>
      <w:marTop w:val="0"/>
      <w:marBottom w:val="0"/>
      <w:divBdr>
        <w:top w:val="none" w:sz="0" w:space="0" w:color="auto"/>
        <w:left w:val="none" w:sz="0" w:space="0" w:color="auto"/>
        <w:bottom w:val="none" w:sz="0" w:space="0" w:color="auto"/>
        <w:right w:val="none" w:sz="0" w:space="0" w:color="auto"/>
      </w:divBdr>
    </w:div>
    <w:div w:id="1489442574">
      <w:bodyDiv w:val="1"/>
      <w:marLeft w:val="0"/>
      <w:marRight w:val="0"/>
      <w:marTop w:val="0"/>
      <w:marBottom w:val="0"/>
      <w:divBdr>
        <w:top w:val="none" w:sz="0" w:space="0" w:color="auto"/>
        <w:left w:val="none" w:sz="0" w:space="0" w:color="auto"/>
        <w:bottom w:val="none" w:sz="0" w:space="0" w:color="auto"/>
        <w:right w:val="none" w:sz="0" w:space="0" w:color="auto"/>
      </w:divBdr>
    </w:div>
    <w:div w:id="1587810162">
      <w:bodyDiv w:val="1"/>
      <w:marLeft w:val="0"/>
      <w:marRight w:val="0"/>
      <w:marTop w:val="0"/>
      <w:marBottom w:val="0"/>
      <w:divBdr>
        <w:top w:val="none" w:sz="0" w:space="0" w:color="auto"/>
        <w:left w:val="none" w:sz="0" w:space="0" w:color="auto"/>
        <w:bottom w:val="none" w:sz="0" w:space="0" w:color="auto"/>
        <w:right w:val="none" w:sz="0" w:space="0" w:color="auto"/>
      </w:divBdr>
    </w:div>
    <w:div w:id="1832328165">
      <w:bodyDiv w:val="1"/>
      <w:marLeft w:val="0"/>
      <w:marRight w:val="0"/>
      <w:marTop w:val="0"/>
      <w:marBottom w:val="0"/>
      <w:divBdr>
        <w:top w:val="none" w:sz="0" w:space="0" w:color="auto"/>
        <w:left w:val="none" w:sz="0" w:space="0" w:color="auto"/>
        <w:bottom w:val="none" w:sz="0" w:space="0" w:color="auto"/>
        <w:right w:val="none" w:sz="0" w:space="0" w:color="auto"/>
      </w:divBdr>
    </w:div>
    <w:div w:id="18641266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emys.v11i22.381" TargetMode="External"/><Relationship Id="rId13" Type="http://schemas.openxmlformats.org/officeDocument/2006/relationships/image" Target="media/image5.emf"/><Relationship Id="rId18" Type="http://schemas.openxmlformats.org/officeDocument/2006/relationships/hyperlink" Target="https://doi.org/10.5377/creaciencia.v15i1.15712" TargetMode="External"/><Relationship Id="rId26" Type="http://schemas.openxmlformats.org/officeDocument/2006/relationships/hyperlink" Target="https://www.redalyc.org/jatsRepo/1942/194263234008/html/index.html" TargetMode="External"/><Relationship Id="rId3" Type="http://schemas.openxmlformats.org/officeDocument/2006/relationships/styles" Target="styles.xml"/><Relationship Id="rId21" Type="http://schemas.openxmlformats.org/officeDocument/2006/relationships/hyperlink" Target="https://doi.org/10.1186/s12889-016-3622-8"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s://doi.org/10.47197/retos.v59.104601" TargetMode="External"/><Relationship Id="rId25" Type="http://schemas.openxmlformats.org/officeDocument/2006/relationships/hyperlink" Target="https://doi.org/10.56048/MQR20225.8.1.2024.3471-3492" TargetMode="External"/><Relationship Id="rId2" Type="http://schemas.openxmlformats.org/officeDocument/2006/relationships/numbering" Target="numbering.xml"/><Relationship Id="rId16" Type="http://schemas.openxmlformats.org/officeDocument/2006/relationships/hyperlink" Target="http://www.scielo.org.co/scielo.php?script=sci_arttext&amp;pid=S179499982015000100006" TargetMode="External"/><Relationship Id="rId20" Type="http://schemas.openxmlformats.org/officeDocument/2006/relationships/hyperlink" Target="https://revistas.utp.ac.pa/index.php/clabes/article/view/167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repositorio.unisinucartagena.edu.co:8080/xmlui/handle/123456789/137" TargetMode="External"/><Relationship Id="rId5" Type="http://schemas.openxmlformats.org/officeDocument/2006/relationships/webSettings" Target="webSettings.xml"/><Relationship Id="rId15" Type="http://schemas.openxmlformats.org/officeDocument/2006/relationships/hyperlink" Target="http://hdl.handle.net/11285/570804" TargetMode="External"/><Relationship Id="rId23" Type="http://schemas.openxmlformats.org/officeDocument/2006/relationships/hyperlink" Target="https://doi.org/10.22201/fca.18706614e.2019.124.56137"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doi.org/10.33010/ie_rie_rediech.v14i0.1619"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hdl.handle.net/20.500.12394/9233" TargetMode="External"/><Relationship Id="rId22" Type="http://schemas.openxmlformats.org/officeDocument/2006/relationships/hyperlink" Target="https://doi.org/10.1037/10546-004" TargetMode="External"/><Relationship Id="rId27" Type="http://schemas.openxmlformats.org/officeDocument/2006/relationships/hyperlink" Target="https://www.redalyc.org/articulo.oa?id=497552359004"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4388</Words>
  <Characters>24140</Characters>
  <Application>Microsoft Office Word</Application>
  <DocSecurity>0</DocSecurity>
  <Lines>201</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 ANAID DE LA CRUZ</cp:lastModifiedBy>
  <cp:revision>2</cp:revision>
  <dcterms:created xsi:type="dcterms:W3CDTF">2026-07-29T21:57:00Z</dcterms:created>
  <dcterms:modified xsi:type="dcterms:W3CDTF">2026-07-29T21:57:00Z</dcterms:modified>
  <cp:category/>
</cp:coreProperties>
</file>